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6D0CDE" w14:paraId="0D81D39E" w14:textId="77777777">
        <w:tc>
          <w:tcPr>
            <w:tcW w:w="509" w:type="dxa"/>
          </w:tcPr>
          <w:p w14:paraId="3DA2DCB0" w14:textId="77777777" w:rsidR="006D0CDE" w:rsidRDefault="00000000">
            <w:pPr>
              <w:pStyle w:val="af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45" w:type="dxa"/>
          </w:tcPr>
          <w:p w14:paraId="2BF91405" w14:textId="77777777" w:rsidR="006D0CDE" w:rsidRDefault="006D0CDE">
            <w:pPr>
              <w:pStyle w:val="affff9"/>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p>
        </w:tc>
      </w:tr>
      <w:tr w:rsidR="006D0CDE" w14:paraId="6667D4B5" w14:textId="77777777">
        <w:tc>
          <w:tcPr>
            <w:tcW w:w="509" w:type="dxa"/>
          </w:tcPr>
          <w:p w14:paraId="48A01908" w14:textId="77777777" w:rsidR="006D0CDE" w:rsidRDefault="00000000">
            <w:pPr>
              <w:pStyle w:val="af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45" w:type="dxa"/>
          </w:tcPr>
          <w:p w14:paraId="40ED306E" w14:textId="77777777" w:rsidR="006D0CDE" w:rsidRDefault="006D0CDE">
            <w:pPr>
              <w:pStyle w:val="af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p>
        </w:tc>
      </w:tr>
    </w:tbl>
    <w:p w14:paraId="38582169" w14:textId="77777777" w:rsidR="006D0CDE" w:rsidRDefault="00000000">
      <w:pPr>
        <w:pStyle w:val="afffffffff3"/>
        <w:framePr w:w="9639" w:h="1812" w:hRule="exact" w:hSpace="181" w:vSpace="181" w:wrap="around" w:vAnchor="page" w:hAnchor="page" w:x="1281" w:y="1750" w:anchorLock="1"/>
        <w:jc w:val="center"/>
        <w:rPr>
          <w:rFonts w:hint="eastAsia"/>
          <w:sz w:val="48"/>
          <w:szCs w:val="18"/>
        </w:rPr>
      </w:pPr>
      <w:bookmarkStart w:id="0" w:name="_Hlk37148405"/>
      <w:r>
        <w:rPr>
          <w:rFonts w:hint="eastAsia"/>
          <w:sz w:val="48"/>
          <w:szCs w:val="18"/>
        </w:rPr>
        <w:t xml:space="preserve">           </w:t>
      </w:r>
      <w:r>
        <w:rPr>
          <w:rFonts w:hint="eastAsia"/>
          <w:sz w:val="56"/>
          <w:szCs w:val="21"/>
        </w:rPr>
        <w:t xml:space="preserve"> </w:t>
      </w:r>
      <w:r>
        <w:rPr>
          <w:rFonts w:hAnsi="黑体" w:cs="黑体" w:hint="eastAsia"/>
          <w:sz w:val="96"/>
          <w:szCs w:val="96"/>
        </w:rPr>
        <w:t>T/</w:t>
      </w:r>
    </w:p>
    <w:p w14:paraId="28068413" w14:textId="77777777" w:rsidR="006D0CDE" w:rsidRDefault="00000000">
      <w:pPr>
        <w:pStyle w:val="afffffffff3"/>
        <w:framePr w:w="9639" w:h="1812" w:hRule="exact" w:hSpace="181" w:vSpace="181" w:wrap="around" w:vAnchor="page" w:hAnchor="page" w:x="1281" w:y="1750" w:anchorLock="1"/>
        <w:rPr>
          <w:rFonts w:hint="eastAsia"/>
          <w:sz w:val="48"/>
          <w:szCs w:val="18"/>
        </w:rPr>
      </w:pPr>
      <w:r>
        <w:rPr>
          <w:rFonts w:hint="eastAsia"/>
          <w:sz w:val="48"/>
          <w:szCs w:val="18"/>
        </w:rPr>
        <w:t xml:space="preserve">                          团体标准</w:t>
      </w:r>
    </w:p>
    <w:bookmarkEnd w:id="0"/>
    <w:p w14:paraId="1D0598F5" w14:textId="77777777" w:rsidR="006D0CDE" w:rsidRDefault="00000000">
      <w:pPr>
        <w:pStyle w:val="afffffffffff"/>
        <w:framePr w:h="417" w:hRule="exact" w:wrap="auto" w:x="1366" w:y="3716"/>
        <w:rPr>
          <w:rFonts w:hAnsi="黑体" w:hint="eastAsia"/>
        </w:rPr>
      </w:pPr>
      <w:r>
        <w:rPr>
          <w:rFonts w:hAnsi="黑体" w:hint="eastAsia"/>
          <w:sz w:val="28"/>
          <w:szCs w:val="40"/>
        </w:rPr>
        <w:t>T/XXX XXXX—XXXX</w:t>
      </w:r>
    </w:p>
    <w:p w14:paraId="7AC9B07D" w14:textId="77777777" w:rsidR="006D0CDE" w:rsidRDefault="00000000">
      <w:pPr>
        <w:pStyle w:val="afffffffffff"/>
        <w:framePr w:h="417" w:hRule="exact" w:wrap="auto" w:x="1366" w:y="3716"/>
        <w:rPr>
          <w:rFonts w:hAnsi="黑体" w:hint="eastAsia"/>
        </w:rPr>
      </w:pPr>
      <w:r>
        <w:rPr>
          <w:rFonts w:hAnsi="黑体" w:hint="eastAsia"/>
        </w:rPr>
        <w:t>T/XXX XXXX—XXXX</w:t>
      </w:r>
    </w:p>
    <w:p w14:paraId="2684A22C" w14:textId="77777777" w:rsidR="006D0CDE" w:rsidRDefault="00000000">
      <w:pPr>
        <w:spacing w:line="240" w:lineRule="auto"/>
        <w:rPr>
          <w:rFonts w:ascii="黑体" w:eastAsia="黑体" w:hAnsi="黑体" w:hint="eastAsia"/>
          <w:kern w:val="0"/>
          <w:sz w:val="52"/>
          <w:szCs w:val="20"/>
        </w:rPr>
      </w:pPr>
      <w:r>
        <w:rPr>
          <w:noProof/>
          <w:sz w:val="52"/>
        </w:rPr>
        <mc:AlternateContent>
          <mc:Choice Requires="wps">
            <w:drawing>
              <wp:anchor distT="0" distB="0" distL="114300" distR="114300" simplePos="0" relativeHeight="251663360" behindDoc="0" locked="0" layoutInCell="1" allowOverlap="1" wp14:anchorId="5FFC4DC1" wp14:editId="6D3FC77E">
                <wp:simplePos x="0" y="0"/>
                <wp:positionH relativeFrom="column">
                  <wp:posOffset>-37465</wp:posOffset>
                </wp:positionH>
                <wp:positionV relativeFrom="paragraph">
                  <wp:posOffset>2091055</wp:posOffset>
                </wp:positionV>
                <wp:extent cx="6102985" cy="0"/>
                <wp:effectExtent l="0" t="4445" r="2540" b="5080"/>
                <wp:wrapNone/>
                <wp:docPr id="1" name="直接连接符 1"/>
                <wp:cNvGraphicFramePr/>
                <a:graphic xmlns:a="http://schemas.openxmlformats.org/drawingml/2006/main">
                  <a:graphicData uri="http://schemas.microsoft.com/office/word/2010/wordprocessingShape">
                    <wps:wsp>
                      <wps:cNvCnPr/>
                      <wps:spPr>
                        <a:xfrm>
                          <a:off x="866140" y="2768600"/>
                          <a:ext cx="610298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2.95pt;margin-top:164.65pt;height:0pt;width:480.55pt;z-index:251663360;mso-width-relative:page;mso-height-relative:page;" filled="f" stroked="t" coordsize="21600,21600" o:gfxdata="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xmn/dcAAAAKAQAADwAAAAAAAAABACAAAAAiAAAAZHJz&#10;L2Rvd25yZXYueG1sUEsBAhQAFAAAAAgAh07iQDqPJl3MAQAAdQMAAA4AAAAAAAAAAQAgAAAAJgEA&#10;AGRycy9lMm9Eb2MueG1sUEsFBgAAAAAGAAYAWQEAAGQFAAAAAA==&#10;">
                <v:fill on="f" focussize="0,0"/>
                <v:stroke color="#000000" joinstyle="round"/>
                <v:imagedata o:title=""/>
                <o:lock v:ext="edit" aspectratio="f"/>
              </v:line>
            </w:pict>
          </mc:Fallback>
        </mc:AlternateContent>
      </w:r>
    </w:p>
    <w:p w14:paraId="494E4814" w14:textId="77777777" w:rsidR="006D0CDE" w:rsidRDefault="00000000">
      <w:pPr>
        <w:pStyle w:val="affffffffffc"/>
        <w:framePr w:wrap="around" w:y="14176"/>
      </w:pPr>
      <w:r>
        <w:rPr>
          <w:rFonts w:ascii="黑体"/>
        </w:rPr>
        <w:fldChar w:fldCharType="begin">
          <w:ffData>
            <w:name w:val="PLSH_DATE_Y"/>
            <w:enabled/>
            <w:calcOnExit w:val="0"/>
            <w:textInput>
              <w:default w:val="XXXX"/>
              <w:maxLength w:val="4"/>
            </w:textInput>
          </w:ffData>
        </w:fldChar>
      </w:r>
      <w:bookmarkStart w:id="1"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3"/>
      <w:r>
        <w:rPr>
          <w:rFonts w:hint="eastAsia"/>
        </w:rPr>
        <w:t>发布</w:t>
      </w:r>
    </w:p>
    <w:p w14:paraId="5B2FF5CA" w14:textId="77777777" w:rsidR="006D0CDE" w:rsidRDefault="00000000">
      <w:pPr>
        <w:pStyle w:val="affffffffffd"/>
        <w:framePr w:wrap="around" w:y="14176"/>
      </w:pPr>
      <w:r>
        <w:rPr>
          <w:rFonts w:ascii="黑体"/>
        </w:rPr>
        <w:fldChar w:fldCharType="begin">
          <w:ffData>
            <w:name w:val="CROT_DATE_Y"/>
            <w:enabled/>
            <w:calcOnExit w:val="0"/>
            <w:textInput>
              <w:default w:val="XXXX"/>
              <w:maxLength w:val="4"/>
            </w:textInput>
          </w:ffData>
        </w:fldChar>
      </w:r>
      <w:bookmarkStart w:id="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实施</w:t>
      </w:r>
    </w:p>
    <w:p w14:paraId="59F52E02" w14:textId="77777777" w:rsidR="006D0CDE" w:rsidRDefault="00000000">
      <w:pPr>
        <w:pStyle w:val="afffffffffff0"/>
        <w:framePr w:h="6974" w:hRule="exact" w:wrap="around" w:x="1393" w:y="5356" w:anchorLock="1"/>
        <w:rPr>
          <w:rFonts w:hint="eastAsia"/>
          <w:b/>
        </w:rPr>
      </w:pPr>
      <w:r>
        <w:rPr>
          <w:rFonts w:hint="eastAsia"/>
          <w:b/>
        </w:rPr>
        <w:t>聚变堆面向等离子体材料电子束</w:t>
      </w:r>
    </w:p>
    <w:p w14:paraId="2DF2E496" w14:textId="77777777" w:rsidR="006D0CDE" w:rsidRDefault="00000000">
      <w:pPr>
        <w:pStyle w:val="afffffffffff0"/>
        <w:framePr w:h="6974" w:hRule="exact" w:wrap="around" w:x="1393" w:y="5356" w:anchorLock="1"/>
        <w:rPr>
          <w:rFonts w:hint="eastAsia"/>
          <w:b/>
        </w:rPr>
      </w:pPr>
      <w:r>
        <w:rPr>
          <w:rFonts w:hint="eastAsia"/>
          <w:b/>
        </w:rPr>
        <w:t>高热负荷测试方法</w:t>
      </w:r>
    </w:p>
    <w:p w14:paraId="5A380A82" w14:textId="77777777" w:rsidR="006D0CDE" w:rsidRDefault="00000000">
      <w:pPr>
        <w:pStyle w:val="affffff1"/>
        <w:framePr w:w="9639" w:h="6974" w:hRule="exact" w:wrap="around" w:vAnchor="page" w:hAnchor="page" w:x="1393" w:y="5356" w:anchorLock="1"/>
        <w:ind w:firstLine="560"/>
        <w:jc w:val="center"/>
        <w:rPr>
          <w:rFonts w:ascii="Times New Roman"/>
          <w:sz w:val="28"/>
          <w:szCs w:val="28"/>
        </w:rPr>
      </w:pPr>
      <w:r>
        <w:rPr>
          <w:rFonts w:ascii="Times New Roman"/>
          <w:sz w:val="28"/>
          <w:szCs w:val="28"/>
        </w:rPr>
        <w:t xml:space="preserve">Electron </w:t>
      </w:r>
      <w:r>
        <w:rPr>
          <w:rFonts w:ascii="Times New Roman" w:hint="eastAsia"/>
          <w:sz w:val="28"/>
          <w:szCs w:val="28"/>
        </w:rPr>
        <w:t>B</w:t>
      </w:r>
      <w:r>
        <w:rPr>
          <w:rFonts w:ascii="Times New Roman"/>
          <w:sz w:val="28"/>
          <w:szCs w:val="28"/>
        </w:rPr>
        <w:t xml:space="preserve">eam </w:t>
      </w:r>
      <w:r>
        <w:rPr>
          <w:rFonts w:ascii="Times New Roman" w:hint="eastAsia"/>
          <w:sz w:val="28"/>
          <w:szCs w:val="28"/>
        </w:rPr>
        <w:t>H</w:t>
      </w:r>
      <w:r>
        <w:rPr>
          <w:rFonts w:ascii="Times New Roman"/>
          <w:sz w:val="28"/>
          <w:szCs w:val="28"/>
        </w:rPr>
        <w:t xml:space="preserve">igh </w:t>
      </w:r>
      <w:r>
        <w:rPr>
          <w:rFonts w:ascii="Times New Roman" w:hint="eastAsia"/>
          <w:sz w:val="28"/>
          <w:szCs w:val="28"/>
        </w:rPr>
        <w:t>H</w:t>
      </w:r>
      <w:r>
        <w:rPr>
          <w:rFonts w:ascii="Times New Roman"/>
          <w:sz w:val="28"/>
          <w:szCs w:val="28"/>
        </w:rPr>
        <w:t xml:space="preserve">eat </w:t>
      </w:r>
      <w:r>
        <w:rPr>
          <w:rFonts w:ascii="Times New Roman" w:hint="eastAsia"/>
          <w:sz w:val="28"/>
          <w:szCs w:val="28"/>
        </w:rPr>
        <w:t>L</w:t>
      </w:r>
      <w:r>
        <w:rPr>
          <w:rFonts w:ascii="Times New Roman"/>
          <w:sz w:val="28"/>
          <w:szCs w:val="28"/>
        </w:rPr>
        <w:t xml:space="preserve">oad </w:t>
      </w:r>
      <w:r>
        <w:rPr>
          <w:rFonts w:ascii="Times New Roman" w:hint="eastAsia"/>
          <w:sz w:val="28"/>
          <w:szCs w:val="28"/>
        </w:rPr>
        <w:t>T</w:t>
      </w:r>
      <w:r>
        <w:rPr>
          <w:rFonts w:ascii="Times New Roman"/>
          <w:sz w:val="28"/>
          <w:szCs w:val="28"/>
        </w:rPr>
        <w:t xml:space="preserve">esting </w:t>
      </w:r>
      <w:r>
        <w:rPr>
          <w:rFonts w:ascii="Times New Roman" w:hint="eastAsia"/>
          <w:sz w:val="28"/>
          <w:szCs w:val="28"/>
        </w:rPr>
        <w:t>M</w:t>
      </w:r>
      <w:r>
        <w:rPr>
          <w:rFonts w:ascii="Times New Roman"/>
          <w:sz w:val="28"/>
          <w:szCs w:val="28"/>
        </w:rPr>
        <w:t xml:space="preserve">ethod </w:t>
      </w:r>
      <w:r>
        <w:rPr>
          <w:rFonts w:ascii="Times New Roman" w:hint="eastAsia"/>
          <w:sz w:val="28"/>
          <w:szCs w:val="28"/>
        </w:rPr>
        <w:t>f</w:t>
      </w:r>
      <w:r>
        <w:rPr>
          <w:rFonts w:ascii="Times New Roman"/>
          <w:sz w:val="28"/>
          <w:szCs w:val="28"/>
        </w:rPr>
        <w:t xml:space="preserve">or </w:t>
      </w:r>
      <w:r>
        <w:rPr>
          <w:rFonts w:ascii="Times New Roman" w:hint="eastAsia"/>
          <w:sz w:val="28"/>
          <w:szCs w:val="28"/>
        </w:rPr>
        <w:t>P</w:t>
      </w:r>
      <w:r>
        <w:rPr>
          <w:rFonts w:ascii="Times New Roman"/>
          <w:sz w:val="28"/>
          <w:szCs w:val="28"/>
        </w:rPr>
        <w:t>lasma</w:t>
      </w:r>
      <w:r>
        <w:rPr>
          <w:rFonts w:ascii="Times New Roman" w:hint="eastAsia"/>
          <w:sz w:val="28"/>
          <w:szCs w:val="28"/>
        </w:rPr>
        <w:t xml:space="preserve"> F</w:t>
      </w:r>
      <w:r>
        <w:rPr>
          <w:rFonts w:ascii="Times New Roman"/>
          <w:sz w:val="28"/>
          <w:szCs w:val="28"/>
        </w:rPr>
        <w:t xml:space="preserve">acing </w:t>
      </w:r>
    </w:p>
    <w:p w14:paraId="32F80A06" w14:textId="77777777" w:rsidR="006D0CDE" w:rsidRDefault="00000000">
      <w:pPr>
        <w:pStyle w:val="affffff1"/>
        <w:framePr w:w="9639" w:h="6974" w:hRule="exact" w:wrap="around" w:vAnchor="page" w:hAnchor="page" w:x="1393" w:y="5356" w:anchorLock="1"/>
        <w:ind w:firstLine="560"/>
        <w:jc w:val="center"/>
        <w:rPr>
          <w:rFonts w:ascii="Times New Roman"/>
          <w:sz w:val="28"/>
          <w:szCs w:val="28"/>
        </w:rPr>
      </w:pPr>
      <w:r>
        <w:rPr>
          <w:rFonts w:ascii="Times New Roman" w:hint="eastAsia"/>
          <w:sz w:val="28"/>
          <w:szCs w:val="28"/>
        </w:rPr>
        <w:t>M</w:t>
      </w:r>
      <w:r>
        <w:rPr>
          <w:rFonts w:ascii="Times New Roman"/>
          <w:sz w:val="28"/>
          <w:szCs w:val="28"/>
        </w:rPr>
        <w:t xml:space="preserve">aterials in </w:t>
      </w:r>
      <w:r>
        <w:rPr>
          <w:rFonts w:ascii="Times New Roman" w:hint="eastAsia"/>
          <w:sz w:val="28"/>
          <w:szCs w:val="28"/>
        </w:rPr>
        <w:t>F</w:t>
      </w:r>
      <w:r>
        <w:rPr>
          <w:rFonts w:ascii="Times New Roman"/>
          <w:sz w:val="28"/>
          <w:szCs w:val="28"/>
        </w:rPr>
        <w:t xml:space="preserve">usion </w:t>
      </w:r>
      <w:r>
        <w:rPr>
          <w:rFonts w:ascii="Times New Roman" w:hint="eastAsia"/>
          <w:sz w:val="28"/>
          <w:szCs w:val="28"/>
        </w:rPr>
        <w:t>R</w:t>
      </w:r>
      <w:r>
        <w:rPr>
          <w:rFonts w:ascii="Times New Roman"/>
          <w:sz w:val="28"/>
          <w:szCs w:val="28"/>
        </w:rPr>
        <w:t>eactors</w:t>
      </w:r>
    </w:p>
    <w:p w14:paraId="70A55820" w14:textId="77777777" w:rsidR="006D0CDE" w:rsidRDefault="006D0CDE">
      <w:pPr>
        <w:pStyle w:val="afffffffffff0"/>
        <w:framePr w:h="6974" w:hRule="exact" w:wrap="around" w:x="1393" w:y="5356" w:anchorLock="1"/>
        <w:rPr>
          <w:rFonts w:hint="eastAsia"/>
        </w:rPr>
      </w:pPr>
    </w:p>
    <w:p w14:paraId="1232BC90" w14:textId="77777777" w:rsidR="006D0CDE" w:rsidRDefault="006D0CDE">
      <w:pPr>
        <w:framePr w:w="9639" w:h="6974" w:hRule="exact" w:wrap="around" w:vAnchor="page" w:hAnchor="page" w:x="1393" w:y="5356" w:anchorLock="1"/>
        <w:spacing w:line="760" w:lineRule="exact"/>
        <w:ind w:left="-1418"/>
      </w:pPr>
    </w:p>
    <w:p w14:paraId="3F789A62" w14:textId="77777777" w:rsidR="006D0CDE" w:rsidRDefault="00000000">
      <w:pPr>
        <w:pStyle w:val="affffffff4"/>
        <w:framePr w:w="9639" w:h="6974" w:hRule="exact" w:wrap="around" w:vAnchor="page" w:hAnchor="page" w:x="1393" w:y="5356" w:anchorLock="1"/>
        <w:spacing w:before="440" w:after="160"/>
        <w:textAlignment w:val="bottom"/>
        <w:rPr>
          <w:sz w:val="24"/>
          <w:szCs w:val="28"/>
        </w:rPr>
      </w:pPr>
      <w:r>
        <w:rPr>
          <w:rFonts w:hint="eastAsia"/>
          <w:sz w:val="24"/>
          <w:szCs w:val="28"/>
        </w:rPr>
        <w:t>征求意见</w:t>
      </w:r>
      <w:r>
        <w:rPr>
          <w:sz w:val="24"/>
          <w:szCs w:val="28"/>
        </w:rPr>
        <w:t>稿</w:t>
      </w:r>
    </w:p>
    <w:p w14:paraId="10C772AD" w14:textId="77777777" w:rsidR="006D0CDE" w:rsidRDefault="00000000">
      <w:pPr>
        <w:framePr w:w="9639" w:h="6974" w:hRule="exact" w:wrap="around" w:vAnchor="page" w:hAnchor="page" w:x="1393" w:y="5356" w:anchorLock="1"/>
        <w:widowControl/>
        <w:jc w:val="center"/>
      </w:pPr>
      <w:r>
        <w:rPr>
          <w:rFonts w:ascii="宋体" w:hAnsi="宋体" w:cs="宋体" w:hint="eastAsia"/>
          <w:color w:val="000000"/>
          <w:kern w:val="0"/>
          <w:lang w:bidi="ar"/>
        </w:rPr>
        <w:t>（本草案完成时间：</w:t>
      </w:r>
      <w:r>
        <w:rPr>
          <w:rFonts w:ascii="Times New Roman" w:hAnsi="Times New Roman"/>
          <w:color w:val="000000"/>
          <w:kern w:val="0"/>
          <w:lang w:bidi="ar"/>
        </w:rPr>
        <w:t>202</w:t>
      </w:r>
      <w:r>
        <w:rPr>
          <w:rFonts w:ascii="Times New Roman" w:hAnsi="Times New Roman" w:hint="eastAsia"/>
          <w:color w:val="000000"/>
          <w:kern w:val="0"/>
          <w:lang w:bidi="ar"/>
        </w:rPr>
        <w:t>50525</w:t>
      </w:r>
      <w:r>
        <w:rPr>
          <w:rFonts w:ascii="宋体" w:hAnsi="宋体" w:cs="宋体" w:hint="eastAsia"/>
          <w:color w:val="000000"/>
          <w:kern w:val="0"/>
          <w:lang w:bidi="ar"/>
        </w:rPr>
        <w:t>）</w:t>
      </w:r>
    </w:p>
    <w:p w14:paraId="4E871EDA" w14:textId="77777777" w:rsidR="006D0CDE" w:rsidRDefault="006D0CDE">
      <w:pPr>
        <w:pStyle w:val="affffffff4"/>
        <w:framePr w:w="9639" w:h="6974" w:hRule="exact" w:wrap="around" w:vAnchor="page" w:hAnchor="page" w:x="1393" w:y="5356" w:anchorLock="1"/>
        <w:spacing w:before="180" w:line="240" w:lineRule="atLeast"/>
        <w:textAlignment w:val="bottom"/>
        <w:rPr>
          <w:sz w:val="21"/>
          <w:szCs w:val="28"/>
        </w:rPr>
      </w:pPr>
    </w:p>
    <w:p w14:paraId="30B78064" w14:textId="77777777" w:rsidR="006D0CDE" w:rsidRDefault="00000000">
      <w:pPr>
        <w:pStyle w:val="affffffff4"/>
        <w:framePr w:w="9639" w:h="6974" w:hRule="exact" w:wrap="around" w:vAnchor="page" w:hAnchor="page" w:x="1393" w:y="5356"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7"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7"/>
    </w:p>
    <w:p w14:paraId="0AC54516" w14:textId="77777777" w:rsidR="006D0CDE" w:rsidRDefault="00000000">
      <w:pPr>
        <w:framePr w:w="6937" w:h="1134" w:hRule="exact" w:hSpace="125" w:vSpace="181" w:wrap="around" w:vAnchor="page" w:hAnchor="page" w:x="2459" w:y="15240" w:anchorLock="1"/>
        <w:widowControl/>
        <w:adjustRightInd/>
        <w:spacing w:line="0" w:lineRule="atLeast"/>
        <w:jc w:val="right"/>
        <w:rPr>
          <w:rFonts w:ascii="黑体" w:eastAsia="黑体" w:hAnsi="Times New Roman"/>
          <w:spacing w:val="20"/>
          <w:w w:val="135"/>
          <w:kern w:val="0"/>
          <w:sz w:val="28"/>
          <w:szCs w:val="20"/>
        </w:rPr>
      </w:pPr>
      <w:bookmarkStart w:id="8" w:name="_Hlk37148487"/>
      <w:r>
        <w:rPr>
          <w:rFonts w:ascii="MS Mincho" w:eastAsia="MS Mincho" w:hAnsi="MS Mincho" w:cs="MS Mincho" w:hint="eastAsia"/>
          <w:spacing w:val="20"/>
          <w:w w:val="135"/>
          <w:kern w:val="0"/>
          <w:sz w:val="28"/>
          <w:szCs w:val="20"/>
        </w:rPr>
        <w:t>   </w:t>
      </w:r>
      <w:r>
        <w:rPr>
          <w:rFonts w:ascii="黑体" w:eastAsia="黑体" w:hAnsi="Times New Roman" w:hint="eastAsia"/>
          <w:spacing w:val="85"/>
          <w:kern w:val="0"/>
          <w:position w:val="3"/>
          <w:sz w:val="28"/>
          <w:szCs w:val="28"/>
        </w:rPr>
        <w:t>发布</w:t>
      </w:r>
    </w:p>
    <w:bookmarkEnd w:id="8"/>
    <w:p w14:paraId="4CF81EC7" w14:textId="77777777" w:rsidR="006D0CDE" w:rsidRDefault="00000000">
      <w:pPr>
        <w:rPr>
          <w:rFonts w:ascii="宋体" w:hAnsi="宋体" w:hint="eastAsia"/>
          <w:sz w:val="28"/>
          <w:szCs w:val="28"/>
        </w:rPr>
        <w:sectPr w:rsidR="006D0CDE">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9264" behindDoc="0" locked="1" layoutInCell="1" allowOverlap="1" wp14:anchorId="42D51992" wp14:editId="0442C5F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5926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bookmarkStart w:id="9" w:name="BookMark2"/>
    <w:p w14:paraId="65C1A490" w14:textId="77777777" w:rsidR="006D0CDE" w:rsidRDefault="00000000">
      <w:pPr>
        <w:pStyle w:val="TOC1"/>
        <w:tabs>
          <w:tab w:val="right" w:leader="dot" w:pos="9344"/>
        </w:tabs>
        <w:rPr>
          <w:rFonts w:eastAsiaTheme="minorEastAsia" w:hAnsiTheme="minorHAnsi" w:cstheme="minorBidi" w:hint="eastAsia"/>
          <w:b w:val="0"/>
          <w:bCs w:val="0"/>
          <w:caps w:val="0"/>
          <w:sz w:val="22"/>
          <w:szCs w:val="24"/>
          <w14:ligatures w14:val="standardContextual"/>
        </w:rPr>
      </w:pPr>
      <w:r>
        <w:lastRenderedPageBreak/>
        <w:fldChar w:fldCharType="begin"/>
      </w:r>
      <w:r>
        <w:instrText xml:space="preserve"> TOC \o "1-1" \h \z \u </w:instrText>
      </w:r>
      <w:r>
        <w:fldChar w:fldCharType="separate"/>
      </w:r>
      <w:hyperlink w:anchor="_Toc190356782" w:history="1">
        <w:r>
          <w:rPr>
            <w:rStyle w:val="afffff6"/>
            <w:rFonts w:hint="eastAsia"/>
            <w:spacing w:val="320"/>
          </w:rPr>
          <w:t>前</w:t>
        </w:r>
        <w:r>
          <w:rPr>
            <w:rStyle w:val="afffff6"/>
            <w:rFonts w:hint="eastAsia"/>
          </w:rPr>
          <w:t>言</w:t>
        </w:r>
        <w:r>
          <w:rPr>
            <w:rFonts w:hint="eastAsia"/>
          </w:rPr>
          <w:tab/>
        </w:r>
        <w:r>
          <w:rPr>
            <w:rFonts w:hint="eastAsia"/>
          </w:rPr>
          <w:fldChar w:fldCharType="begin"/>
        </w:r>
        <w:r>
          <w:rPr>
            <w:rFonts w:hint="eastAsia"/>
          </w:rPr>
          <w:instrText xml:space="preserve"> </w:instrText>
        </w:r>
        <w:r>
          <w:instrText>PAGEREF _Toc190356782 \h</w:instrText>
        </w:r>
        <w:r>
          <w:rPr>
            <w:rFonts w:hint="eastAsia"/>
          </w:rPr>
          <w:instrText xml:space="preserve"> </w:instrText>
        </w:r>
        <w:r>
          <w:rPr>
            <w:rFonts w:hint="eastAsia"/>
          </w:rPr>
        </w:r>
        <w:r>
          <w:rPr>
            <w:rFonts w:hint="eastAsia"/>
          </w:rPr>
          <w:fldChar w:fldCharType="separate"/>
        </w:r>
        <w:r>
          <w:t>II</w:t>
        </w:r>
        <w:r>
          <w:rPr>
            <w:rFonts w:hint="eastAsia"/>
          </w:rPr>
          <w:fldChar w:fldCharType="end"/>
        </w:r>
      </w:hyperlink>
    </w:p>
    <w:p w14:paraId="50D31435" w14:textId="77777777" w:rsidR="006D0CDE" w:rsidRDefault="00000000">
      <w:pPr>
        <w:pStyle w:val="TOC1"/>
        <w:tabs>
          <w:tab w:val="right" w:leader="dot" w:pos="9344"/>
        </w:tabs>
        <w:rPr>
          <w:rFonts w:eastAsiaTheme="minorEastAsia" w:hAnsiTheme="minorHAnsi" w:cstheme="minorBidi" w:hint="eastAsia"/>
          <w:b w:val="0"/>
          <w:bCs w:val="0"/>
          <w:caps w:val="0"/>
          <w:sz w:val="22"/>
          <w:szCs w:val="24"/>
          <w14:ligatures w14:val="standardContextual"/>
        </w:rPr>
      </w:pPr>
      <w:hyperlink w:anchor="_Toc190356783" w:history="1">
        <w:r>
          <w:rPr>
            <w:rStyle w:val="afffff6"/>
            <w:rFonts w:hint="eastAsia"/>
          </w:rPr>
          <w:t>1 范围</w:t>
        </w:r>
        <w:r>
          <w:rPr>
            <w:rFonts w:hint="eastAsia"/>
          </w:rPr>
          <w:tab/>
        </w:r>
        <w:r>
          <w:rPr>
            <w:rFonts w:hint="eastAsia"/>
          </w:rPr>
          <w:fldChar w:fldCharType="begin"/>
        </w:r>
        <w:r>
          <w:rPr>
            <w:rFonts w:hint="eastAsia"/>
          </w:rPr>
          <w:instrText xml:space="preserve"> </w:instrText>
        </w:r>
        <w:r>
          <w:instrText>PAGEREF _Toc190356783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4CBB24AC" w14:textId="77777777" w:rsidR="006D0CDE" w:rsidRDefault="00000000">
      <w:pPr>
        <w:pStyle w:val="TOC1"/>
        <w:tabs>
          <w:tab w:val="right" w:leader="dot" w:pos="9344"/>
        </w:tabs>
        <w:rPr>
          <w:rFonts w:eastAsiaTheme="minorEastAsia" w:hAnsiTheme="minorHAnsi" w:cstheme="minorBidi" w:hint="eastAsia"/>
          <w:b w:val="0"/>
          <w:bCs w:val="0"/>
          <w:caps w:val="0"/>
          <w:sz w:val="22"/>
          <w:szCs w:val="24"/>
          <w14:ligatures w14:val="standardContextual"/>
        </w:rPr>
      </w:pPr>
      <w:hyperlink w:anchor="_Toc190356784" w:history="1">
        <w:r>
          <w:rPr>
            <w:rStyle w:val="afffff6"/>
            <w:rFonts w:hint="eastAsia"/>
          </w:rPr>
          <w:t>2 规范性引用文件</w:t>
        </w:r>
        <w:r>
          <w:rPr>
            <w:rFonts w:hint="eastAsia"/>
          </w:rPr>
          <w:tab/>
        </w:r>
        <w:r>
          <w:rPr>
            <w:rFonts w:hint="eastAsia"/>
          </w:rPr>
          <w:fldChar w:fldCharType="begin"/>
        </w:r>
        <w:r>
          <w:rPr>
            <w:rFonts w:hint="eastAsia"/>
          </w:rPr>
          <w:instrText xml:space="preserve"> </w:instrText>
        </w:r>
        <w:r>
          <w:instrText>PAGEREF _Toc190356784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427AB825" w14:textId="77777777" w:rsidR="006D0CDE" w:rsidRDefault="00000000">
      <w:pPr>
        <w:pStyle w:val="TOC1"/>
        <w:tabs>
          <w:tab w:val="right" w:leader="dot" w:pos="9344"/>
        </w:tabs>
        <w:rPr>
          <w:rFonts w:eastAsiaTheme="minorEastAsia" w:hAnsiTheme="minorHAnsi" w:cstheme="minorBidi" w:hint="eastAsia"/>
          <w:b w:val="0"/>
          <w:bCs w:val="0"/>
          <w:caps w:val="0"/>
          <w:sz w:val="22"/>
          <w:szCs w:val="24"/>
          <w14:ligatures w14:val="standardContextual"/>
        </w:rPr>
      </w:pPr>
      <w:hyperlink w:anchor="_Toc190356785" w:history="1">
        <w:r>
          <w:rPr>
            <w:rStyle w:val="afffff6"/>
            <w:rFonts w:hint="eastAsia"/>
          </w:rPr>
          <w:t>3 术语和定义</w:t>
        </w:r>
        <w:r>
          <w:rPr>
            <w:rFonts w:hint="eastAsia"/>
          </w:rPr>
          <w:tab/>
        </w:r>
        <w:r>
          <w:rPr>
            <w:rFonts w:hint="eastAsia"/>
          </w:rPr>
          <w:fldChar w:fldCharType="begin"/>
        </w:r>
        <w:r>
          <w:rPr>
            <w:rFonts w:hint="eastAsia"/>
          </w:rPr>
          <w:instrText xml:space="preserve"> </w:instrText>
        </w:r>
        <w:r>
          <w:instrText>PAGEREF _Toc190356785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78F73F3A" w14:textId="77777777" w:rsidR="006D0CDE" w:rsidRDefault="00000000">
      <w:pPr>
        <w:pStyle w:val="TOC1"/>
        <w:tabs>
          <w:tab w:val="right" w:leader="dot" w:pos="9344"/>
        </w:tabs>
        <w:rPr>
          <w:rFonts w:eastAsiaTheme="minorEastAsia" w:hAnsiTheme="minorHAnsi" w:cstheme="minorBidi" w:hint="eastAsia"/>
          <w:b w:val="0"/>
          <w:bCs w:val="0"/>
          <w:caps w:val="0"/>
          <w:sz w:val="22"/>
          <w:szCs w:val="24"/>
          <w14:ligatures w14:val="standardContextual"/>
        </w:rPr>
      </w:pPr>
      <w:hyperlink w:anchor="_Toc190356786" w:history="1">
        <w:r>
          <w:rPr>
            <w:rStyle w:val="afffff6"/>
            <w:rFonts w:hint="eastAsia"/>
          </w:rPr>
          <w:t>4 测试原理</w:t>
        </w:r>
        <w:r>
          <w:rPr>
            <w:rFonts w:hint="eastAsia"/>
          </w:rPr>
          <w:tab/>
        </w:r>
        <w:r>
          <w:rPr>
            <w:rFonts w:hint="eastAsia"/>
          </w:rPr>
          <w:fldChar w:fldCharType="begin"/>
        </w:r>
        <w:r>
          <w:rPr>
            <w:rFonts w:hint="eastAsia"/>
          </w:rPr>
          <w:instrText xml:space="preserve"> </w:instrText>
        </w:r>
        <w:r>
          <w:instrText>PAGEREF _Toc190356786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40418177" w14:textId="77777777" w:rsidR="006D0CDE" w:rsidRDefault="00000000">
      <w:pPr>
        <w:pStyle w:val="TOC1"/>
        <w:tabs>
          <w:tab w:val="right" w:leader="dot" w:pos="9344"/>
        </w:tabs>
        <w:rPr>
          <w:rFonts w:eastAsiaTheme="minorEastAsia" w:hAnsiTheme="minorHAnsi" w:cstheme="minorBidi" w:hint="eastAsia"/>
          <w:b w:val="0"/>
          <w:bCs w:val="0"/>
          <w:caps w:val="0"/>
          <w:sz w:val="22"/>
          <w:szCs w:val="24"/>
          <w14:ligatures w14:val="standardContextual"/>
        </w:rPr>
      </w:pPr>
      <w:hyperlink w:anchor="_Toc190356787" w:history="1">
        <w:r>
          <w:rPr>
            <w:rStyle w:val="afffff6"/>
            <w:rFonts w:hint="eastAsia"/>
          </w:rPr>
          <w:t>5 测试设备</w:t>
        </w:r>
        <w:bookmarkStart w:id="10" w:name="OLE_LINK4"/>
        <w:r>
          <w:rPr>
            <w:rStyle w:val="afffff6"/>
            <w:rFonts w:hint="eastAsia"/>
          </w:rPr>
          <w:t>及要求</w:t>
        </w:r>
        <w:bookmarkEnd w:id="10"/>
        <w:r>
          <w:rPr>
            <w:rFonts w:hint="eastAsia"/>
          </w:rPr>
          <w:tab/>
        </w:r>
        <w:r>
          <w:rPr>
            <w:rFonts w:hint="eastAsia"/>
          </w:rPr>
          <w:fldChar w:fldCharType="begin"/>
        </w:r>
        <w:r>
          <w:rPr>
            <w:rFonts w:hint="eastAsia"/>
          </w:rPr>
          <w:instrText xml:space="preserve"> </w:instrText>
        </w:r>
        <w:r>
          <w:instrText>PAGEREF _Toc190356787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2C109390" w14:textId="77777777" w:rsidR="006D0CDE" w:rsidRDefault="00000000">
      <w:pPr>
        <w:pStyle w:val="TOC1"/>
        <w:tabs>
          <w:tab w:val="right" w:leader="dot" w:pos="9344"/>
        </w:tabs>
        <w:rPr>
          <w:rFonts w:eastAsiaTheme="minorEastAsia" w:hAnsiTheme="minorHAnsi" w:cstheme="minorBidi" w:hint="eastAsia"/>
          <w:b w:val="0"/>
          <w:bCs w:val="0"/>
          <w:caps w:val="0"/>
          <w:sz w:val="22"/>
          <w:szCs w:val="24"/>
          <w14:ligatures w14:val="standardContextual"/>
        </w:rPr>
      </w:pPr>
      <w:hyperlink w:anchor="_Toc190356788" w:history="1">
        <w:r>
          <w:rPr>
            <w:rStyle w:val="afffff6"/>
            <w:rFonts w:hint="eastAsia"/>
          </w:rPr>
          <w:t>6 测试材料要求</w:t>
        </w:r>
        <w:r>
          <w:rPr>
            <w:rFonts w:hint="eastAsia"/>
          </w:rPr>
          <w:tab/>
        </w:r>
        <w:r>
          <w:rPr>
            <w:rFonts w:hint="eastAsia"/>
          </w:rPr>
          <w:fldChar w:fldCharType="begin"/>
        </w:r>
        <w:r>
          <w:rPr>
            <w:rFonts w:hint="eastAsia"/>
          </w:rPr>
          <w:instrText xml:space="preserve"> </w:instrText>
        </w:r>
        <w:r>
          <w:instrText>PAGEREF _Toc190356788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12F9D348" w14:textId="77777777" w:rsidR="006D0CDE" w:rsidRDefault="00000000">
      <w:pPr>
        <w:pStyle w:val="TOC1"/>
        <w:tabs>
          <w:tab w:val="right" w:leader="dot" w:pos="9344"/>
        </w:tabs>
        <w:rPr>
          <w:rFonts w:eastAsiaTheme="minorEastAsia" w:hAnsiTheme="minorHAnsi" w:cstheme="minorBidi" w:hint="eastAsia"/>
          <w:b w:val="0"/>
          <w:bCs w:val="0"/>
          <w:caps w:val="0"/>
          <w:sz w:val="22"/>
          <w:szCs w:val="24"/>
          <w14:ligatures w14:val="standardContextual"/>
        </w:rPr>
      </w:pPr>
      <w:hyperlink w:anchor="_Toc190356789" w:history="1">
        <w:r>
          <w:rPr>
            <w:rStyle w:val="afffff6"/>
            <w:rFonts w:hint="eastAsia"/>
          </w:rPr>
          <w:t>7</w:t>
        </w:r>
        <w:r>
          <w:rPr>
            <w:rStyle w:val="afffff6"/>
            <w:rFonts w:ascii="Times New Roman" w:hint="eastAsia"/>
          </w:rPr>
          <w:t xml:space="preserve"> </w:t>
        </w:r>
        <w:bookmarkStart w:id="11" w:name="OLE_LINK7"/>
        <w:r>
          <w:rPr>
            <w:rStyle w:val="afffff6"/>
            <w:rFonts w:ascii="Times New Roman" w:hint="eastAsia"/>
          </w:rPr>
          <w:t>高热负荷实验分类</w:t>
        </w:r>
        <w:bookmarkEnd w:id="11"/>
        <w:r>
          <w:rPr>
            <w:rFonts w:hint="eastAsia"/>
          </w:rPr>
          <w:tab/>
        </w:r>
        <w:r>
          <w:rPr>
            <w:rFonts w:hint="eastAsia"/>
          </w:rPr>
          <w:fldChar w:fldCharType="begin"/>
        </w:r>
        <w:r>
          <w:rPr>
            <w:rFonts w:hint="eastAsia"/>
          </w:rPr>
          <w:instrText xml:space="preserve"> </w:instrText>
        </w:r>
        <w:r>
          <w:instrText>PAGEREF _Toc190356789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152B2E13" w14:textId="77777777" w:rsidR="006D0CDE" w:rsidRDefault="00000000">
      <w:pPr>
        <w:pStyle w:val="TOC1"/>
        <w:tabs>
          <w:tab w:val="right" w:leader="dot" w:pos="9344"/>
        </w:tabs>
        <w:rPr>
          <w:rFonts w:eastAsiaTheme="minorEastAsia" w:hAnsiTheme="minorHAnsi" w:cstheme="minorBidi" w:hint="eastAsia"/>
          <w:b w:val="0"/>
          <w:bCs w:val="0"/>
          <w:caps w:val="0"/>
          <w:sz w:val="22"/>
          <w:szCs w:val="24"/>
          <w14:ligatures w14:val="standardContextual"/>
        </w:rPr>
      </w:pPr>
      <w:hyperlink w:anchor="_Toc190356790" w:history="1">
        <w:r>
          <w:rPr>
            <w:rStyle w:val="afffff6"/>
            <w:rFonts w:hint="eastAsia"/>
          </w:rPr>
          <w:t>8</w:t>
        </w:r>
        <w:r>
          <w:rPr>
            <w:rStyle w:val="afffff6"/>
            <w:rFonts w:ascii="Times New Roman" w:hint="eastAsia"/>
          </w:rPr>
          <w:t xml:space="preserve"> </w:t>
        </w:r>
        <w:bookmarkStart w:id="12" w:name="OLE_LINK8"/>
        <w:r>
          <w:rPr>
            <w:rStyle w:val="afffff6"/>
            <w:rFonts w:ascii="Times New Roman" w:hint="eastAsia"/>
          </w:rPr>
          <w:t>高热负荷测试过程</w:t>
        </w:r>
        <w:bookmarkEnd w:id="12"/>
        <w:r>
          <w:rPr>
            <w:rFonts w:hint="eastAsia"/>
          </w:rPr>
          <w:tab/>
        </w:r>
        <w:r>
          <w:rPr>
            <w:rFonts w:hint="eastAsia"/>
          </w:rPr>
          <w:fldChar w:fldCharType="begin"/>
        </w:r>
        <w:r>
          <w:rPr>
            <w:rFonts w:hint="eastAsia"/>
          </w:rPr>
          <w:instrText xml:space="preserve"> </w:instrText>
        </w:r>
        <w:r>
          <w:instrText>PAGEREF _Toc190356790 \h</w:instrText>
        </w:r>
        <w:r>
          <w:rPr>
            <w:rFonts w:hint="eastAsia"/>
          </w:rPr>
          <w:instrText xml:space="preserve"> </w:instrText>
        </w:r>
        <w:r>
          <w:rPr>
            <w:rFonts w:hint="eastAsia"/>
          </w:rPr>
        </w:r>
        <w:r>
          <w:rPr>
            <w:rFonts w:hint="eastAsia"/>
          </w:rPr>
          <w:fldChar w:fldCharType="separate"/>
        </w:r>
        <w:r>
          <w:t>9</w:t>
        </w:r>
        <w:r>
          <w:rPr>
            <w:rFonts w:hint="eastAsia"/>
          </w:rPr>
          <w:fldChar w:fldCharType="end"/>
        </w:r>
      </w:hyperlink>
    </w:p>
    <w:p w14:paraId="34935C3B" w14:textId="77777777" w:rsidR="006D0CDE" w:rsidRDefault="00000000">
      <w:pPr>
        <w:pStyle w:val="TOC1"/>
        <w:tabs>
          <w:tab w:val="right" w:leader="dot" w:pos="9344"/>
        </w:tabs>
        <w:rPr>
          <w:rFonts w:eastAsiaTheme="minorEastAsia" w:hAnsiTheme="minorHAnsi" w:cstheme="minorBidi" w:hint="eastAsia"/>
          <w:b w:val="0"/>
          <w:bCs w:val="0"/>
          <w:caps w:val="0"/>
          <w:sz w:val="22"/>
          <w:szCs w:val="24"/>
          <w14:ligatures w14:val="standardContextual"/>
        </w:rPr>
      </w:pPr>
      <w:hyperlink w:anchor="_Toc190356791" w:history="1">
        <w:r>
          <w:rPr>
            <w:rStyle w:val="afffff6"/>
            <w:rFonts w:hint="eastAsia"/>
          </w:rPr>
          <w:t>9</w:t>
        </w:r>
        <w:r>
          <w:rPr>
            <w:rStyle w:val="afffff6"/>
            <w:rFonts w:ascii="Times New Roman" w:hint="eastAsia"/>
          </w:rPr>
          <w:t xml:space="preserve"> </w:t>
        </w:r>
        <w:r>
          <w:rPr>
            <w:rStyle w:val="afffff6"/>
            <w:rFonts w:ascii="Times New Roman" w:hint="eastAsia"/>
          </w:rPr>
          <w:t>高热负荷测试后分析</w:t>
        </w:r>
        <w:r>
          <w:rPr>
            <w:rFonts w:hint="eastAsia"/>
          </w:rPr>
          <w:tab/>
        </w:r>
        <w:r>
          <w:rPr>
            <w:rFonts w:hint="eastAsia"/>
          </w:rPr>
          <w:fldChar w:fldCharType="begin"/>
        </w:r>
        <w:r>
          <w:rPr>
            <w:rFonts w:hint="eastAsia"/>
          </w:rPr>
          <w:instrText xml:space="preserve"> </w:instrText>
        </w:r>
        <w:r>
          <w:instrText>PAGEREF _Toc190356791 \h</w:instrText>
        </w:r>
        <w:r>
          <w:rPr>
            <w:rFonts w:hint="eastAsia"/>
          </w:rPr>
          <w:instrText xml:space="preserve"> </w:instrText>
        </w:r>
        <w:r>
          <w:rPr>
            <w:rFonts w:hint="eastAsia"/>
          </w:rPr>
        </w:r>
        <w:r>
          <w:rPr>
            <w:rFonts w:hint="eastAsia"/>
          </w:rPr>
          <w:fldChar w:fldCharType="separate"/>
        </w:r>
        <w:r>
          <w:t>11</w:t>
        </w:r>
        <w:r>
          <w:rPr>
            <w:rFonts w:hint="eastAsia"/>
          </w:rPr>
          <w:fldChar w:fldCharType="end"/>
        </w:r>
      </w:hyperlink>
    </w:p>
    <w:p w14:paraId="1446084C" w14:textId="77777777" w:rsidR="006D0CDE" w:rsidRDefault="00000000">
      <w:pPr>
        <w:pStyle w:val="TOC1"/>
        <w:tabs>
          <w:tab w:val="right" w:leader="dot" w:pos="9344"/>
        </w:tabs>
        <w:rPr>
          <w:rFonts w:eastAsiaTheme="minorEastAsia" w:hAnsiTheme="minorHAnsi" w:cstheme="minorBidi" w:hint="eastAsia"/>
          <w:b w:val="0"/>
          <w:bCs w:val="0"/>
          <w:caps w:val="0"/>
          <w:sz w:val="22"/>
          <w:szCs w:val="24"/>
          <w14:ligatures w14:val="standardContextual"/>
        </w:rPr>
      </w:pPr>
      <w:hyperlink w:anchor="_Toc190356792" w:history="1">
        <w:r>
          <w:rPr>
            <w:rStyle w:val="afffff6"/>
            <w:rFonts w:hint="eastAsia"/>
          </w:rPr>
          <w:t>10 测试报告</w:t>
        </w:r>
        <w:r>
          <w:rPr>
            <w:rFonts w:hint="eastAsia"/>
          </w:rPr>
          <w:tab/>
        </w:r>
        <w:r>
          <w:rPr>
            <w:rFonts w:hint="eastAsia"/>
          </w:rPr>
          <w:fldChar w:fldCharType="begin"/>
        </w:r>
        <w:r>
          <w:rPr>
            <w:rFonts w:hint="eastAsia"/>
          </w:rPr>
          <w:instrText xml:space="preserve"> </w:instrText>
        </w:r>
        <w:r>
          <w:instrText>PAGEREF _Toc190356792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5DB8FC50" w14:textId="77777777" w:rsidR="006D0CDE" w:rsidRDefault="00000000">
      <w:pPr>
        <w:pStyle w:val="a6"/>
        <w:spacing w:after="468"/>
      </w:pPr>
      <w:r>
        <w:fldChar w:fldCharType="end"/>
      </w:r>
    </w:p>
    <w:p w14:paraId="1CB46574" w14:textId="77777777" w:rsidR="006D0CDE" w:rsidRDefault="00000000">
      <w:pPr>
        <w:widowControl/>
        <w:adjustRightInd/>
        <w:spacing w:line="240" w:lineRule="auto"/>
        <w:jc w:val="left"/>
        <w:rPr>
          <w:rFonts w:ascii="黑体" w:eastAsia="黑体" w:hAnsi="Times New Roman"/>
          <w:spacing w:val="320"/>
          <w:kern w:val="0"/>
          <w:sz w:val="32"/>
          <w:szCs w:val="20"/>
        </w:rPr>
      </w:pPr>
      <w:r>
        <w:rPr>
          <w:spacing w:val="320"/>
        </w:rPr>
        <w:br w:type="page"/>
      </w:r>
    </w:p>
    <w:p w14:paraId="4FA4C531" w14:textId="77777777" w:rsidR="006D0CDE" w:rsidRDefault="00000000">
      <w:pPr>
        <w:pStyle w:val="a6"/>
        <w:spacing w:after="468"/>
      </w:pPr>
      <w:bookmarkStart w:id="13" w:name="_Toc190356782"/>
      <w:r>
        <w:rPr>
          <w:spacing w:val="320"/>
        </w:rPr>
        <w:lastRenderedPageBreak/>
        <w:t>前</w:t>
      </w:r>
      <w:r>
        <w:t>言</w:t>
      </w:r>
      <w:bookmarkEnd w:id="13"/>
    </w:p>
    <w:p w14:paraId="7F2DCF86" w14:textId="77777777" w:rsidR="006D0CDE" w:rsidRDefault="00000000">
      <w:pPr>
        <w:pStyle w:val="affffff1"/>
        <w:ind w:firstLine="420"/>
      </w:pPr>
      <w:r>
        <w:rPr>
          <w:rFonts w:hint="eastAsia"/>
        </w:rPr>
        <w:t>本文件按照GB/T 1.1—2020《标准化工作导则  第1部分：标准化文件的结构和起草规则》的规定起草。</w:t>
      </w:r>
    </w:p>
    <w:p w14:paraId="421AAC67" w14:textId="77777777" w:rsidR="0058044B" w:rsidRDefault="0058044B" w:rsidP="0058044B">
      <w:pPr>
        <w:pStyle w:val="affffff1"/>
        <w:ind w:firstLine="420"/>
        <w:rPr>
          <w:rFonts w:hint="eastAsia"/>
        </w:rPr>
      </w:pPr>
      <w:r>
        <w:rPr>
          <w:rFonts w:hint="eastAsia"/>
        </w:rPr>
        <w:t>请注意本文件的某些内容可能涉及专利。本文件的发布机构不承担识别专利的责任。</w:t>
      </w:r>
    </w:p>
    <w:p w14:paraId="1454BEF7" w14:textId="77777777" w:rsidR="0058044B" w:rsidRDefault="0058044B" w:rsidP="0058044B">
      <w:pPr>
        <w:pStyle w:val="affffff1"/>
        <w:ind w:firstLine="420"/>
        <w:rPr>
          <w:rFonts w:hint="eastAsia"/>
        </w:rPr>
      </w:pPr>
      <w:r>
        <w:rPr>
          <w:rFonts w:hint="eastAsia"/>
        </w:rPr>
        <w:t>本文件由中国核能行业协会提出并归口，技术支持单位为上海核工程研究设计院股份有限公司、核工业标准化研究所、苏州热工研究院有限公司、华能核能技术研究院有限公司。</w:t>
      </w:r>
    </w:p>
    <w:p w14:paraId="1B7F4902" w14:textId="77777777" w:rsidR="006D0CDE" w:rsidRDefault="00000000">
      <w:pPr>
        <w:pStyle w:val="affffff1"/>
        <w:ind w:firstLine="420"/>
      </w:pPr>
      <w:r>
        <w:rPr>
          <w:rFonts w:hint="eastAsia"/>
        </w:rPr>
        <w:t>本文件起草单位：核工业西南物理研究院。</w:t>
      </w:r>
    </w:p>
    <w:p w14:paraId="7D2098FB" w14:textId="77777777" w:rsidR="006D0CDE" w:rsidRDefault="00000000">
      <w:pPr>
        <w:pStyle w:val="affffff1"/>
        <w:ind w:firstLine="420"/>
      </w:pPr>
      <w:r>
        <w:rPr>
          <w:rFonts w:hint="eastAsia"/>
        </w:rPr>
        <w:t>本文件主要起草人：封范、练友运、王建豹、王子杰、刘春佳、史英丽、金羽中、罗泉祥、秦思贵、欧阳慧、于宏新、刘翔。</w:t>
      </w:r>
    </w:p>
    <w:p w14:paraId="38DADEB8" w14:textId="35039A65" w:rsidR="0058044B" w:rsidRDefault="0058044B">
      <w:pPr>
        <w:pStyle w:val="affffff1"/>
        <w:ind w:firstLine="420"/>
        <w:rPr>
          <w:rFonts w:hint="eastAsia"/>
        </w:rPr>
      </w:pPr>
      <w:r w:rsidRPr="0058044B">
        <w:rPr>
          <w:rFonts w:hint="eastAsia"/>
        </w:rPr>
        <w:t>本文件首次发布。</w:t>
      </w:r>
    </w:p>
    <w:p w14:paraId="6699CB6B" w14:textId="77777777" w:rsidR="006D0CDE" w:rsidRDefault="00000000">
      <w:pPr>
        <w:pStyle w:val="affffff1"/>
        <w:ind w:firstLine="420"/>
      </w:pPr>
      <w:r>
        <w:rPr>
          <w:rFonts w:hint="eastAsia"/>
        </w:rPr>
        <w:t>本文件不意味着列出了所有的与其使用相关的安全考虑，如果有安全考虑的话，本文件的使用者有责任在使用前熟悉所有危险，包括在相应由制造商供货的产品/材料安全数据中所确定的危险因素，并有责任制订相应的安全和健康规程，以及确定规定限制的适用性。</w:t>
      </w:r>
    </w:p>
    <w:p w14:paraId="351DB9FD" w14:textId="77777777" w:rsidR="006D0CDE" w:rsidRDefault="006D0CDE">
      <w:pPr>
        <w:pStyle w:val="affffff1"/>
        <w:ind w:firstLine="420"/>
      </w:pPr>
    </w:p>
    <w:p w14:paraId="5074EAE3" w14:textId="77777777" w:rsidR="006D0CDE" w:rsidRDefault="006D0CDE">
      <w:pPr>
        <w:pStyle w:val="affffff1"/>
        <w:ind w:firstLine="420"/>
      </w:pPr>
    </w:p>
    <w:p w14:paraId="3063E759" w14:textId="77777777" w:rsidR="006D0CDE" w:rsidRDefault="006D0CDE">
      <w:pPr>
        <w:pStyle w:val="affffff1"/>
        <w:ind w:firstLine="420"/>
      </w:pPr>
    </w:p>
    <w:p w14:paraId="03AF15DB" w14:textId="77777777" w:rsidR="006D0CDE" w:rsidRDefault="006D0CDE">
      <w:pPr>
        <w:pStyle w:val="affffff1"/>
        <w:ind w:firstLine="420"/>
        <w:sectPr w:rsidR="006D0CDE">
          <w:headerReference w:type="even" r:id="rId13"/>
          <w:headerReference w:type="default" r:id="rId14"/>
          <w:footerReference w:type="default" r:id="rId15"/>
          <w:pgSz w:w="11906" w:h="16838"/>
          <w:pgMar w:top="2410" w:right="1134" w:bottom="1134" w:left="1134" w:header="1418" w:footer="1134" w:gutter="284"/>
          <w:pgNumType w:fmt="upperRoman" w:start="1"/>
          <w:cols w:space="425"/>
          <w:formProt w:val="0"/>
          <w:docGrid w:type="lines" w:linePitch="312"/>
        </w:sectPr>
      </w:pPr>
    </w:p>
    <w:p w14:paraId="6EE621D6" w14:textId="77777777" w:rsidR="006D0CDE" w:rsidRDefault="006D0CDE">
      <w:pPr>
        <w:spacing w:line="20" w:lineRule="exact"/>
        <w:jc w:val="center"/>
        <w:rPr>
          <w:rFonts w:ascii="黑体" w:eastAsia="黑体" w:hAnsi="黑体" w:hint="eastAsia"/>
          <w:sz w:val="32"/>
          <w:szCs w:val="32"/>
        </w:rPr>
      </w:pPr>
      <w:bookmarkStart w:id="14" w:name="BookMark4"/>
      <w:bookmarkEnd w:id="9"/>
    </w:p>
    <w:p w14:paraId="0DAD0030" w14:textId="77777777" w:rsidR="006D0CDE" w:rsidRDefault="006D0CDE">
      <w:pPr>
        <w:spacing w:line="20" w:lineRule="exact"/>
        <w:jc w:val="center"/>
        <w:rPr>
          <w:rFonts w:ascii="黑体" w:eastAsia="黑体" w:hAnsi="黑体" w:hint="eastAsia"/>
          <w:sz w:val="32"/>
          <w:szCs w:val="32"/>
        </w:rPr>
      </w:pPr>
    </w:p>
    <w:bookmarkStart w:id="15" w:name="NEW_STAND_NAME" w:displacedByCustomXml="next"/>
    <w:sdt>
      <w:sdtPr>
        <w:tag w:val="NEW_STAND_NAME"/>
        <w:id w:val="595910757"/>
        <w:lock w:val="sdtLocked"/>
        <w:placeholder>
          <w:docPart w:val="267B4D6005214CDC8AD6731D75F3D1C2"/>
        </w:placeholder>
      </w:sdtPr>
      <w:sdtContent>
        <w:p w14:paraId="40ECE537" w14:textId="77777777" w:rsidR="006D0CDE" w:rsidRDefault="00000000">
          <w:pPr>
            <w:pStyle w:val="affffffffff4"/>
            <w:spacing w:afterLines="220" w:after="686"/>
            <w:rPr>
              <w:rFonts w:hint="eastAsia"/>
            </w:rPr>
          </w:pPr>
          <w:r>
            <w:rPr>
              <w:rFonts w:hint="eastAsia"/>
            </w:rPr>
            <w:t>聚变</w:t>
          </w:r>
          <w:r>
            <w:t>堆面向等离子体</w:t>
          </w:r>
          <w:r>
            <w:rPr>
              <w:rFonts w:hint="eastAsia"/>
            </w:rPr>
            <w:t>材料的</w:t>
          </w:r>
          <w:r>
            <w:t>电子束高热</w:t>
          </w:r>
          <w:r>
            <w:rPr>
              <w:rFonts w:hint="eastAsia"/>
            </w:rPr>
            <w:t>负荷</w:t>
          </w:r>
          <w:r>
            <w:t>测试</w:t>
          </w:r>
          <w:r>
            <w:rPr>
              <w:rFonts w:hint="eastAsia"/>
            </w:rPr>
            <w:t>方法</w:t>
          </w:r>
        </w:p>
      </w:sdtContent>
    </w:sdt>
    <w:p w14:paraId="5B223629" w14:textId="77777777" w:rsidR="006D0CDE" w:rsidRDefault="00000000">
      <w:pPr>
        <w:pStyle w:val="afff3"/>
        <w:spacing w:before="312" w:after="312"/>
      </w:pPr>
      <w:bookmarkStart w:id="16" w:name="_Toc24884218"/>
      <w:bookmarkStart w:id="17" w:name="_Toc26986771"/>
      <w:bookmarkStart w:id="18" w:name="_Toc26718930"/>
      <w:bookmarkStart w:id="19" w:name="_Toc26648465"/>
      <w:bookmarkStart w:id="20" w:name="_Toc17233325"/>
      <w:bookmarkStart w:id="21" w:name="_Toc190356783"/>
      <w:bookmarkStart w:id="22" w:name="_Toc24884211"/>
      <w:bookmarkStart w:id="23" w:name="_Toc17233333"/>
      <w:bookmarkStart w:id="24" w:name="_Toc26986530"/>
      <w:bookmarkEnd w:id="15"/>
      <w:r>
        <w:rPr>
          <w:rFonts w:hint="eastAsia"/>
        </w:rPr>
        <w:t>范围</w:t>
      </w:r>
      <w:bookmarkEnd w:id="16"/>
      <w:bookmarkEnd w:id="17"/>
      <w:bookmarkEnd w:id="18"/>
      <w:bookmarkEnd w:id="19"/>
      <w:bookmarkEnd w:id="20"/>
      <w:bookmarkEnd w:id="21"/>
      <w:bookmarkEnd w:id="22"/>
      <w:bookmarkEnd w:id="23"/>
      <w:bookmarkEnd w:id="24"/>
    </w:p>
    <w:p w14:paraId="4A84B22A" w14:textId="77777777" w:rsidR="006D0CDE" w:rsidRDefault="00000000">
      <w:pPr>
        <w:pStyle w:val="affffff1"/>
        <w:ind w:firstLine="420"/>
      </w:pPr>
      <w:bookmarkStart w:id="25" w:name="_Toc24884212"/>
      <w:bookmarkStart w:id="26" w:name="_Toc17233334"/>
      <w:bookmarkStart w:id="27" w:name="_Toc17233326"/>
      <w:bookmarkStart w:id="28" w:name="_Toc24884219"/>
      <w:bookmarkStart w:id="29" w:name="_Toc26648466"/>
      <w:r>
        <w:rPr>
          <w:rFonts w:hint="eastAsia"/>
        </w:rPr>
        <w:t>本文件规定了聚变堆面向等离子体材料的电子束瞬态高热负荷和稳态热负荷测试的测试原理、测试材料要求、测试设备、测试环境、测试步骤和测试报告等。</w:t>
      </w:r>
    </w:p>
    <w:p w14:paraId="5FB3C4FB" w14:textId="77777777" w:rsidR="006D0CDE" w:rsidRDefault="00000000">
      <w:pPr>
        <w:pStyle w:val="affffff1"/>
        <w:ind w:firstLine="420"/>
      </w:pPr>
      <w:r>
        <w:rPr>
          <w:rFonts w:hint="eastAsia"/>
        </w:rPr>
        <w:t>本文件适用于聚变堆面向等离子材料及水冷模块的耐高热负荷性能及寿命测试。</w:t>
      </w:r>
    </w:p>
    <w:p w14:paraId="0E98B537" w14:textId="77777777" w:rsidR="006D0CDE" w:rsidRDefault="00000000">
      <w:pPr>
        <w:pStyle w:val="afff3"/>
        <w:spacing w:before="312" w:after="312"/>
      </w:pPr>
      <w:bookmarkStart w:id="30" w:name="_Toc190356784"/>
      <w:bookmarkStart w:id="31" w:name="_Toc26718931"/>
      <w:bookmarkStart w:id="32" w:name="_Toc26986772"/>
      <w:bookmarkStart w:id="33" w:name="_Toc26986531"/>
      <w:r>
        <w:rPr>
          <w:rFonts w:hint="eastAsia"/>
        </w:rPr>
        <w:t>规范性引用文件</w:t>
      </w:r>
      <w:bookmarkEnd w:id="25"/>
      <w:bookmarkEnd w:id="26"/>
      <w:bookmarkEnd w:id="27"/>
      <w:bookmarkEnd w:id="28"/>
      <w:bookmarkEnd w:id="29"/>
      <w:bookmarkEnd w:id="30"/>
      <w:bookmarkEnd w:id="31"/>
      <w:bookmarkEnd w:id="32"/>
      <w:bookmarkEnd w:id="33"/>
    </w:p>
    <w:p w14:paraId="136CC544" w14:textId="77777777" w:rsidR="006D0CDE" w:rsidRDefault="00000000">
      <w:pPr>
        <w:pStyle w:val="affffff1"/>
        <w:ind w:firstLine="420"/>
        <w:rPr>
          <w:rFonts w:ascii="Times New Roman"/>
        </w:rPr>
      </w:pPr>
      <w:r>
        <w:rPr>
          <w:rFonts w:hint="eastAsia"/>
        </w:rPr>
        <w:t>下列文件中的内容通过文中的规范性引用而构成本文件必不可少的条款。</w:t>
      </w:r>
    </w:p>
    <w:p w14:paraId="4ED883B7" w14:textId="77777777" w:rsidR="006D0CDE" w:rsidRDefault="00000000">
      <w:pPr>
        <w:pStyle w:val="affffff1"/>
        <w:ind w:firstLine="420"/>
        <w:rPr>
          <w:rFonts w:ascii="Times New Roman"/>
        </w:rPr>
      </w:pPr>
      <w:r>
        <w:rPr>
          <w:rFonts w:ascii="Times New Roman" w:hint="eastAsia"/>
        </w:rPr>
        <w:t xml:space="preserve">GB/T 4960.9 </w:t>
      </w:r>
      <w:r>
        <w:rPr>
          <w:rFonts w:ascii="Times New Roman" w:hint="eastAsia"/>
        </w:rPr>
        <w:t>核科学技术术语；</w:t>
      </w:r>
    </w:p>
    <w:p w14:paraId="6341DE4B" w14:textId="77777777" w:rsidR="006D0CDE" w:rsidRDefault="00000000">
      <w:pPr>
        <w:pStyle w:val="affffff1"/>
        <w:ind w:firstLine="420"/>
        <w:rPr>
          <w:rFonts w:ascii="Times New Roman"/>
        </w:rPr>
      </w:pPr>
      <w:r>
        <w:rPr>
          <w:rFonts w:ascii="Times New Roman" w:hint="eastAsia"/>
        </w:rPr>
        <w:t xml:space="preserve">GB/T 19870 </w:t>
      </w:r>
      <w:r>
        <w:rPr>
          <w:rFonts w:ascii="Times New Roman" w:hint="eastAsia"/>
        </w:rPr>
        <w:t>工业检测型红外热像仪；</w:t>
      </w:r>
    </w:p>
    <w:p w14:paraId="70F9C2C7" w14:textId="77777777" w:rsidR="006D0CDE" w:rsidRDefault="00000000">
      <w:pPr>
        <w:pStyle w:val="affffff1"/>
        <w:ind w:firstLine="420"/>
        <w:rPr>
          <w:rFonts w:ascii="Times New Roman"/>
        </w:rPr>
      </w:pPr>
      <w:r>
        <w:rPr>
          <w:rFonts w:ascii="Times New Roman" w:hint="eastAsia"/>
        </w:rPr>
        <w:t xml:space="preserve">GB 5959.7 </w:t>
      </w:r>
      <w:r>
        <w:rPr>
          <w:rFonts w:ascii="Times New Roman" w:hint="eastAsia"/>
        </w:rPr>
        <w:t>电热装置的安全</w:t>
      </w:r>
      <w:r>
        <w:rPr>
          <w:rFonts w:ascii="Times New Roman" w:hint="eastAsia"/>
        </w:rPr>
        <w:t xml:space="preserve"> </w:t>
      </w:r>
      <w:r>
        <w:rPr>
          <w:rFonts w:ascii="Times New Roman" w:hint="eastAsia"/>
        </w:rPr>
        <w:t>第</w:t>
      </w:r>
      <w:r>
        <w:rPr>
          <w:rFonts w:ascii="Times New Roman" w:hint="eastAsia"/>
        </w:rPr>
        <w:t>7</w:t>
      </w:r>
      <w:r>
        <w:rPr>
          <w:rFonts w:ascii="Times New Roman" w:hint="eastAsia"/>
        </w:rPr>
        <w:t>部分：对具有电子枪的装置的特殊要求；</w:t>
      </w:r>
    </w:p>
    <w:p w14:paraId="38B23CD6" w14:textId="77777777" w:rsidR="006D0CDE" w:rsidRDefault="00000000">
      <w:pPr>
        <w:pStyle w:val="affffff1"/>
        <w:ind w:firstLine="420"/>
        <w:rPr>
          <w:rFonts w:ascii="Times New Roman"/>
        </w:rPr>
      </w:pPr>
      <w:r>
        <w:rPr>
          <w:rFonts w:ascii="Times New Roman" w:hint="eastAsia"/>
        </w:rPr>
        <w:t xml:space="preserve">GB/T 10066.7 </w:t>
      </w:r>
      <w:r>
        <w:rPr>
          <w:rFonts w:ascii="Times New Roman" w:hint="eastAsia"/>
        </w:rPr>
        <w:t>电热装置的试验方法</w:t>
      </w:r>
      <w:r>
        <w:rPr>
          <w:rFonts w:ascii="Times New Roman" w:hint="eastAsia"/>
        </w:rPr>
        <w:t xml:space="preserve"> </w:t>
      </w:r>
      <w:r>
        <w:rPr>
          <w:rFonts w:ascii="Times New Roman" w:hint="eastAsia"/>
        </w:rPr>
        <w:t>第</w:t>
      </w:r>
      <w:r>
        <w:rPr>
          <w:rFonts w:ascii="Times New Roman" w:hint="eastAsia"/>
        </w:rPr>
        <w:t>7</w:t>
      </w:r>
      <w:r>
        <w:rPr>
          <w:rFonts w:ascii="Times New Roman" w:hint="eastAsia"/>
        </w:rPr>
        <w:t>部分：具有电子枪的电热装置；</w:t>
      </w:r>
    </w:p>
    <w:p w14:paraId="28D4B0FD" w14:textId="77777777" w:rsidR="006D0CDE" w:rsidRDefault="00000000">
      <w:pPr>
        <w:pStyle w:val="affffff1"/>
        <w:ind w:firstLine="420"/>
        <w:rPr>
          <w:rFonts w:ascii="Times New Roman"/>
        </w:rPr>
      </w:pPr>
      <w:r>
        <w:rPr>
          <w:rFonts w:ascii="Times New Roman" w:hint="eastAsia"/>
        </w:rPr>
        <w:t xml:space="preserve">ISO 14744 </w:t>
      </w:r>
      <w:r>
        <w:rPr>
          <w:rFonts w:ascii="Times New Roman" w:hint="eastAsia"/>
        </w:rPr>
        <w:t>电子束焊机的验收检验；</w:t>
      </w:r>
    </w:p>
    <w:p w14:paraId="0296AC2F" w14:textId="77777777" w:rsidR="006D0CDE" w:rsidRDefault="00000000">
      <w:pPr>
        <w:pStyle w:val="affffff1"/>
        <w:ind w:firstLine="420"/>
        <w:rPr>
          <w:rFonts w:ascii="Times New Roman"/>
        </w:rPr>
      </w:pPr>
      <w:r>
        <w:rPr>
          <w:rFonts w:ascii="Times New Roman" w:hint="eastAsia"/>
        </w:rPr>
        <w:t xml:space="preserve">GB/T 20967 </w:t>
      </w:r>
      <w:r>
        <w:rPr>
          <w:rFonts w:ascii="Times New Roman" w:hint="eastAsia"/>
        </w:rPr>
        <w:t>无损检测</w:t>
      </w:r>
      <w:r>
        <w:rPr>
          <w:rFonts w:ascii="Times New Roman" w:hint="eastAsia"/>
        </w:rPr>
        <w:t xml:space="preserve"> </w:t>
      </w:r>
      <w:r>
        <w:rPr>
          <w:rFonts w:ascii="Times New Roman" w:hint="eastAsia"/>
        </w:rPr>
        <w:t>目视检测</w:t>
      </w:r>
      <w:r>
        <w:rPr>
          <w:rFonts w:ascii="Times New Roman" w:hint="eastAsia"/>
        </w:rPr>
        <w:t xml:space="preserve"> </w:t>
      </w:r>
      <w:r>
        <w:rPr>
          <w:rFonts w:ascii="Times New Roman" w:hint="eastAsia"/>
        </w:rPr>
        <w:t>总则；</w:t>
      </w:r>
    </w:p>
    <w:p w14:paraId="69584B7B" w14:textId="77777777" w:rsidR="006D0CDE" w:rsidRDefault="00000000">
      <w:pPr>
        <w:pStyle w:val="affffff1"/>
        <w:ind w:firstLine="420"/>
        <w:rPr>
          <w:rFonts w:ascii="Times New Roman"/>
        </w:rPr>
      </w:pPr>
      <w:r>
        <w:rPr>
          <w:rFonts w:ascii="Times New Roman" w:hint="eastAsia"/>
        </w:rPr>
        <w:t xml:space="preserve">GB/T 40810.1 </w:t>
      </w:r>
      <w:r>
        <w:rPr>
          <w:rFonts w:ascii="Times New Roman" w:hint="eastAsia"/>
        </w:rPr>
        <w:t>产品几何技术规范（</w:t>
      </w:r>
      <w:r>
        <w:rPr>
          <w:rFonts w:ascii="Times New Roman" w:hint="eastAsia"/>
        </w:rPr>
        <w:t>GPS</w:t>
      </w:r>
      <w:r>
        <w:rPr>
          <w:rFonts w:ascii="Times New Roman" w:hint="eastAsia"/>
        </w:rPr>
        <w:t>）</w:t>
      </w:r>
      <w:r>
        <w:rPr>
          <w:rFonts w:ascii="Times New Roman" w:hint="eastAsia"/>
        </w:rPr>
        <w:t xml:space="preserve"> </w:t>
      </w:r>
      <w:r>
        <w:rPr>
          <w:rFonts w:ascii="Times New Roman" w:hint="eastAsia"/>
        </w:rPr>
        <w:t>生产过程在线测量</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部分：几何特征（尺寸、表面结构）的在线检测与验证；</w:t>
      </w:r>
    </w:p>
    <w:p w14:paraId="7B54A7AA" w14:textId="77777777" w:rsidR="006D0CDE" w:rsidRDefault="00000000">
      <w:pPr>
        <w:pStyle w:val="affffff1"/>
        <w:ind w:firstLine="420"/>
        <w:rPr>
          <w:rFonts w:ascii="Times New Roman"/>
        </w:rPr>
      </w:pPr>
      <w:r>
        <w:rPr>
          <w:rFonts w:ascii="Times New Roman" w:hint="eastAsia"/>
        </w:rPr>
        <w:t xml:space="preserve">GB/T 32563 </w:t>
      </w:r>
      <w:r>
        <w:rPr>
          <w:rFonts w:ascii="Times New Roman" w:hint="eastAsia"/>
        </w:rPr>
        <w:t>无损检测</w:t>
      </w:r>
      <w:r>
        <w:rPr>
          <w:rFonts w:ascii="Times New Roman" w:hint="eastAsia"/>
        </w:rPr>
        <w:t xml:space="preserve"> </w:t>
      </w:r>
      <w:r>
        <w:rPr>
          <w:rFonts w:ascii="Times New Roman" w:hint="eastAsia"/>
        </w:rPr>
        <w:t>超声检测</w:t>
      </w:r>
      <w:r>
        <w:rPr>
          <w:rFonts w:ascii="Times New Roman" w:hint="eastAsia"/>
        </w:rPr>
        <w:t xml:space="preserve"> </w:t>
      </w:r>
      <w:r>
        <w:rPr>
          <w:rFonts w:ascii="Times New Roman" w:hint="eastAsia"/>
        </w:rPr>
        <w:t>相控阵超声检测方法；</w:t>
      </w:r>
    </w:p>
    <w:p w14:paraId="79B130DF" w14:textId="77777777" w:rsidR="006D0CDE" w:rsidRDefault="00000000">
      <w:pPr>
        <w:pStyle w:val="afff3"/>
        <w:spacing w:before="312" w:after="312"/>
      </w:pPr>
      <w:bookmarkStart w:id="34" w:name="_Toc190356785"/>
      <w:r>
        <w:rPr>
          <w:rFonts w:hint="eastAsia"/>
          <w:szCs w:val="21"/>
        </w:rPr>
        <w:t>术语和定义</w:t>
      </w:r>
      <w:bookmarkEnd w:id="34"/>
    </w:p>
    <w:bookmarkStart w:id="35" w:name="_Toc26986532" w:displacedByCustomXml="next"/>
    <w:bookmarkEnd w:id="35" w:displacedByCustomXml="next"/>
    <w:sdt>
      <w:sdtPr>
        <w:rPr>
          <w:rFonts w:ascii="Times New Roman" w:hint="eastAsia"/>
        </w:rPr>
        <w:id w:val="-1909835108"/>
        <w:placeholder>
          <w:docPart w:val="6226AA3AD098418795EF5A41ABF5FB9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DACCEA1" w14:textId="77777777" w:rsidR="006D0CDE" w:rsidRDefault="00000000">
          <w:pPr>
            <w:pStyle w:val="affffff1"/>
            <w:ind w:firstLine="420"/>
          </w:pPr>
          <w:r>
            <w:rPr>
              <w:rFonts w:ascii="Times New Roman" w:hint="eastAsia"/>
            </w:rPr>
            <w:t>除国标</w:t>
          </w:r>
          <w:r>
            <w:rPr>
              <w:rFonts w:ascii="Times New Roman" w:hint="eastAsia"/>
            </w:rPr>
            <w:t>GB/T 4960.9</w:t>
          </w:r>
          <w:r>
            <w:rPr>
              <w:rFonts w:ascii="Times New Roman" w:hint="eastAsia"/>
            </w:rPr>
            <w:t>术语规定外，下列术语和定义适用于本文件。</w:t>
          </w:r>
        </w:p>
      </w:sdtContent>
    </w:sdt>
    <w:p w14:paraId="097FB475" w14:textId="77777777" w:rsidR="006D0CDE" w:rsidRDefault="006D0CDE">
      <w:pPr>
        <w:pStyle w:val="af3"/>
        <w:spacing w:beforeLines="0" w:afterLines="0"/>
        <w:outlineLvl w:val="1"/>
      </w:pPr>
    </w:p>
    <w:p w14:paraId="033AA84D" w14:textId="77777777" w:rsidR="006D0CDE" w:rsidRDefault="00000000">
      <w:pPr>
        <w:pStyle w:val="af3"/>
        <w:numPr>
          <w:ilvl w:val="1"/>
          <w:numId w:val="0"/>
        </w:numPr>
        <w:spacing w:beforeLines="0" w:afterLines="0"/>
        <w:ind w:left="708"/>
        <w:outlineLvl w:val="1"/>
      </w:pPr>
      <w:r>
        <w:rPr>
          <w:rFonts w:hint="eastAsia"/>
        </w:rPr>
        <w:t xml:space="preserve">面向等离子体材料 </w:t>
      </w:r>
      <w:r>
        <w:rPr>
          <w:rFonts w:ascii="Times New Roman" w:hint="eastAsia"/>
        </w:rPr>
        <w:t>Plasma facing materials</w:t>
      </w:r>
    </w:p>
    <w:p w14:paraId="7C57437F" w14:textId="77777777" w:rsidR="006D0CDE" w:rsidRDefault="00000000">
      <w:pPr>
        <w:pStyle w:val="affffffffffff6"/>
        <w:rPr>
          <w:rFonts w:ascii="Times New Roman"/>
        </w:rPr>
      </w:pPr>
      <w:r>
        <w:rPr>
          <w:rFonts w:ascii="Times New Roman" w:hint="eastAsia"/>
        </w:rPr>
        <w:t>指在磁约束核聚变装置中直接面向高温等离子体的材料，按位置和功能的不同，可分别用于第一壁、偏滤器和限制器；面向等离子体材料的候选材料包括碳基材料、铍和钨等。</w:t>
      </w:r>
    </w:p>
    <w:p w14:paraId="3AC561D1" w14:textId="77777777" w:rsidR="006D0CDE" w:rsidRDefault="006D0CDE">
      <w:pPr>
        <w:pStyle w:val="af3"/>
        <w:spacing w:beforeLines="0" w:afterLines="0"/>
        <w:outlineLvl w:val="1"/>
        <w:rPr>
          <w:rFonts w:ascii="Times New Roman"/>
        </w:rPr>
      </w:pPr>
      <w:bookmarkStart w:id="36" w:name="OLE_LINK3"/>
    </w:p>
    <w:p w14:paraId="41465116" w14:textId="77777777" w:rsidR="006D0CDE" w:rsidRDefault="00000000">
      <w:pPr>
        <w:pStyle w:val="af3"/>
        <w:numPr>
          <w:ilvl w:val="1"/>
          <w:numId w:val="0"/>
        </w:numPr>
        <w:spacing w:beforeLines="0" w:afterLines="0"/>
        <w:ind w:left="708"/>
        <w:outlineLvl w:val="1"/>
        <w:rPr>
          <w:rFonts w:ascii="Times New Roman"/>
        </w:rPr>
      </w:pPr>
      <w:r>
        <w:rPr>
          <w:rFonts w:ascii="Times New Roman" w:hint="eastAsia"/>
        </w:rPr>
        <w:t>水冷模块</w:t>
      </w:r>
      <w:r>
        <w:rPr>
          <w:rFonts w:ascii="Times New Roman" w:hint="eastAsia"/>
        </w:rPr>
        <w:t xml:space="preserve">  Water cooling mock-up</w:t>
      </w:r>
    </w:p>
    <w:p w14:paraId="41A1A1BE" w14:textId="77777777" w:rsidR="006D0CDE" w:rsidRDefault="00000000">
      <w:pPr>
        <w:pStyle w:val="affffffffffff6"/>
        <w:rPr>
          <w:rFonts w:ascii="Times New Roman"/>
        </w:rPr>
      </w:pPr>
      <w:r>
        <w:rPr>
          <w:rFonts w:ascii="Times New Roman" w:hint="eastAsia"/>
        </w:rPr>
        <w:t>指将面向等离子体材料与热沉材料连接而成具有主动水冷结构的测试样件。</w:t>
      </w:r>
    </w:p>
    <w:p w14:paraId="70C6CD50" w14:textId="77777777" w:rsidR="006D0CDE" w:rsidRDefault="006D0CDE">
      <w:pPr>
        <w:pStyle w:val="af3"/>
        <w:spacing w:beforeLines="0" w:afterLines="0"/>
        <w:outlineLvl w:val="1"/>
        <w:rPr>
          <w:rFonts w:ascii="Times New Roman"/>
        </w:rPr>
      </w:pPr>
      <w:bookmarkStart w:id="37" w:name="OLE_LINK2"/>
    </w:p>
    <w:p w14:paraId="15BF675B" w14:textId="77777777" w:rsidR="006D0CDE" w:rsidRDefault="00000000">
      <w:pPr>
        <w:pStyle w:val="af3"/>
        <w:numPr>
          <w:ilvl w:val="1"/>
          <w:numId w:val="0"/>
        </w:numPr>
        <w:spacing w:beforeLines="0" w:afterLines="0"/>
        <w:ind w:left="708"/>
        <w:outlineLvl w:val="1"/>
        <w:rPr>
          <w:rFonts w:ascii="Times New Roman"/>
        </w:rPr>
      </w:pPr>
      <w:r>
        <w:rPr>
          <w:rFonts w:ascii="Times New Roman" w:hint="eastAsia"/>
        </w:rPr>
        <w:t>瞬态高热负荷</w:t>
      </w:r>
      <w:bookmarkEnd w:id="37"/>
      <w:r>
        <w:rPr>
          <w:rFonts w:ascii="Times New Roman" w:hint="eastAsia"/>
        </w:rPr>
        <w:t xml:space="preserve"> Transient high heat load</w:t>
      </w:r>
      <w:r>
        <w:rPr>
          <w:rFonts w:ascii="Times New Roman" w:hint="eastAsia"/>
        </w:rPr>
        <w:tab/>
      </w:r>
    </w:p>
    <w:p w14:paraId="6AECDA1C" w14:textId="77777777" w:rsidR="006D0CDE" w:rsidRDefault="00000000">
      <w:pPr>
        <w:pStyle w:val="affffffffffff6"/>
      </w:pPr>
      <w:r>
        <w:rPr>
          <w:rFonts w:ascii="Times New Roman" w:hint="eastAsia"/>
        </w:rPr>
        <w:t>由聚变堆装置内等离子体不稳定性导致的、等离子体在短时间内轰击面向等离子体材料而产生的热效应，按不稳定时间的长短可分为边缘局域模、</w:t>
      </w:r>
      <w:r>
        <w:rPr>
          <w:rFonts w:ascii="Times New Roman"/>
        </w:rPr>
        <w:t>等离子体破裂</w:t>
      </w:r>
      <w:r>
        <w:rPr>
          <w:rFonts w:ascii="Times New Roman" w:hint="eastAsia"/>
        </w:rPr>
        <w:t>和垂直位移事件。本文件中指电子束在短时间内对材料及模块表面的热加载。</w:t>
      </w:r>
    </w:p>
    <w:p w14:paraId="1B784C06" w14:textId="77777777" w:rsidR="006D0CDE" w:rsidRDefault="006D0CDE">
      <w:pPr>
        <w:pStyle w:val="af3"/>
        <w:spacing w:beforeLines="0" w:afterLines="0"/>
        <w:outlineLvl w:val="1"/>
        <w:rPr>
          <w:rFonts w:ascii="Times New Roman"/>
        </w:rPr>
      </w:pPr>
    </w:p>
    <w:p w14:paraId="710952BA" w14:textId="77777777" w:rsidR="006D0CDE" w:rsidRDefault="00000000">
      <w:pPr>
        <w:pStyle w:val="af3"/>
        <w:numPr>
          <w:ilvl w:val="1"/>
          <w:numId w:val="0"/>
        </w:numPr>
        <w:spacing w:beforeLines="0" w:afterLines="0"/>
        <w:ind w:left="708"/>
        <w:outlineLvl w:val="1"/>
        <w:rPr>
          <w:rFonts w:ascii="Times New Roman"/>
        </w:rPr>
      </w:pPr>
      <w:r>
        <w:rPr>
          <w:rFonts w:ascii="Times New Roman" w:hint="eastAsia"/>
        </w:rPr>
        <w:t>稳态高热负荷</w:t>
      </w:r>
      <w:r>
        <w:rPr>
          <w:rFonts w:ascii="Times New Roman" w:hint="eastAsia"/>
        </w:rPr>
        <w:t xml:space="preserve"> Steady high heat load</w:t>
      </w:r>
    </w:p>
    <w:p w14:paraId="0DB78D87" w14:textId="77777777" w:rsidR="006D0CDE" w:rsidRDefault="00000000">
      <w:pPr>
        <w:pStyle w:val="affffffffffff6"/>
      </w:pPr>
      <w:bookmarkStart w:id="38" w:name="_Hlk190163741"/>
      <w:r>
        <w:rPr>
          <w:rFonts w:ascii="Times New Roman" w:hint="eastAsia"/>
        </w:rPr>
        <w:t>聚变堆装置内等离子体（芯部）正常运行时等离子体轰击材料表面产生的热效应，本文件中指电子束加载时模块表面温度与冷却水温度达到热平衡状态时的热负荷。</w:t>
      </w:r>
      <w:bookmarkEnd w:id="38"/>
    </w:p>
    <w:p w14:paraId="55BD3382" w14:textId="77777777" w:rsidR="006D0CDE" w:rsidRDefault="006D0CDE">
      <w:pPr>
        <w:pStyle w:val="af3"/>
        <w:spacing w:beforeLines="0" w:afterLines="0"/>
        <w:outlineLvl w:val="1"/>
        <w:rPr>
          <w:rFonts w:ascii="Times New Roman"/>
        </w:rPr>
      </w:pPr>
    </w:p>
    <w:p w14:paraId="566DD64C" w14:textId="77777777" w:rsidR="006D0CDE" w:rsidRDefault="00000000">
      <w:pPr>
        <w:pStyle w:val="af3"/>
        <w:numPr>
          <w:ilvl w:val="1"/>
          <w:numId w:val="0"/>
        </w:numPr>
        <w:spacing w:beforeLines="0" w:afterLines="0"/>
        <w:ind w:left="708"/>
        <w:outlineLvl w:val="1"/>
        <w:rPr>
          <w:rFonts w:ascii="Times New Roman"/>
        </w:rPr>
      </w:pPr>
      <w:r>
        <w:rPr>
          <w:rFonts w:ascii="Times New Roman" w:hint="eastAsia"/>
        </w:rPr>
        <w:t>边缘局域模</w:t>
      </w:r>
      <w:r>
        <w:rPr>
          <w:rFonts w:ascii="Times New Roman" w:hint="eastAsia"/>
        </w:rPr>
        <w:t xml:space="preserve"> Edge Localized Modes</w:t>
      </w:r>
    </w:p>
    <w:p w14:paraId="4EC2F3CE" w14:textId="77777777" w:rsidR="006D0CDE" w:rsidRDefault="00000000">
      <w:pPr>
        <w:pStyle w:val="affffffffffff6"/>
      </w:pPr>
      <w:r>
        <w:rPr>
          <w:rFonts w:ascii="Times New Roman" w:hint="eastAsia"/>
        </w:rPr>
        <w:t>边缘局域模发生在托卡马克装置等离子体边界区域，是该区域发生的磁流体不稳定现象。它是磁约束核聚变等离子体中的一种重要现象，会导致等离子体形状振荡和粒子损失，从而影响等离子体的约束性能和稳态运行。</w:t>
      </w:r>
    </w:p>
    <w:p w14:paraId="281009A4" w14:textId="77777777" w:rsidR="006D0CDE" w:rsidRDefault="006D0CDE">
      <w:pPr>
        <w:pStyle w:val="af3"/>
        <w:spacing w:beforeLines="0" w:afterLines="0"/>
        <w:outlineLvl w:val="1"/>
      </w:pPr>
    </w:p>
    <w:p w14:paraId="0A4EB053" w14:textId="77777777" w:rsidR="006D0CDE" w:rsidRDefault="00000000">
      <w:pPr>
        <w:pStyle w:val="af3"/>
        <w:numPr>
          <w:ilvl w:val="1"/>
          <w:numId w:val="0"/>
        </w:numPr>
        <w:spacing w:beforeLines="0" w:afterLines="0"/>
        <w:ind w:left="708"/>
        <w:outlineLvl w:val="1"/>
      </w:pPr>
      <w:r>
        <w:rPr>
          <w:rFonts w:ascii="Times New Roman"/>
        </w:rPr>
        <w:t>等离子体破裂</w:t>
      </w:r>
      <w:r>
        <w:rPr>
          <w:rFonts w:ascii="Times New Roman" w:hint="eastAsia"/>
        </w:rPr>
        <w:t xml:space="preserve"> Plasma disruption</w:t>
      </w:r>
    </w:p>
    <w:p w14:paraId="07CF082B" w14:textId="77777777" w:rsidR="006D0CDE" w:rsidRDefault="00000000">
      <w:pPr>
        <w:pStyle w:val="affffffffffff6"/>
        <w:rPr>
          <w:rFonts w:ascii="Times New Roman"/>
        </w:rPr>
      </w:pPr>
      <w:r>
        <w:rPr>
          <w:rFonts w:ascii="Times New Roman" w:hint="eastAsia"/>
        </w:rPr>
        <w:t>等离子体在某种原因下发生瓦解的现象，在磁约束聚变等离子体中等离子体破裂是一种常见的现象，造成等离子体破裂的原因有多种，如高能量粒子碰撞、磁场扰动、粒子逃逸等。等离子体破裂会导致等离子体约束性能下降，大量粒子轰击到器壁，同时会产生强烈的电磁扰动和热负荷，对等离子体的运行和控制产生不利影响。</w:t>
      </w:r>
    </w:p>
    <w:p w14:paraId="2C790CF3" w14:textId="77777777" w:rsidR="006D0CDE" w:rsidRDefault="006D0CDE">
      <w:pPr>
        <w:pStyle w:val="af3"/>
        <w:spacing w:beforeLines="0" w:afterLines="0"/>
        <w:outlineLvl w:val="1"/>
        <w:rPr>
          <w:rFonts w:ascii="Times New Roman"/>
        </w:rPr>
      </w:pPr>
    </w:p>
    <w:p w14:paraId="3AF28A03" w14:textId="77777777" w:rsidR="006D0CDE" w:rsidRDefault="00000000">
      <w:pPr>
        <w:pStyle w:val="af3"/>
        <w:numPr>
          <w:ilvl w:val="1"/>
          <w:numId w:val="0"/>
        </w:numPr>
        <w:spacing w:beforeLines="0" w:afterLines="0"/>
        <w:ind w:left="708"/>
        <w:outlineLvl w:val="1"/>
        <w:rPr>
          <w:rFonts w:ascii="Times New Roman"/>
        </w:rPr>
      </w:pPr>
      <w:r>
        <w:rPr>
          <w:rFonts w:ascii="Times New Roman" w:hint="eastAsia"/>
        </w:rPr>
        <w:t>垂直位移事件</w:t>
      </w:r>
      <w:r>
        <w:rPr>
          <w:rFonts w:ascii="Times New Roman" w:hint="eastAsia"/>
        </w:rPr>
        <w:t xml:space="preserve"> Vertical displacement event</w:t>
      </w:r>
    </w:p>
    <w:p w14:paraId="05A576BA" w14:textId="77777777" w:rsidR="006D0CDE" w:rsidRDefault="00000000">
      <w:pPr>
        <w:pStyle w:val="affffffffffff6"/>
      </w:pPr>
      <w:r>
        <w:rPr>
          <w:rFonts w:ascii="Times New Roman" w:hint="eastAsia"/>
        </w:rPr>
        <w:t>磁约束聚变等离子体中磁场的变化会引起等离子体的位移和运动，等离子体在垂直方向上发生的位移事件称为垂直位移事件。这种事件会导致等离子体约束性能下降，大量粒子轰击到器壁，同时会产生强烈的电磁扰动和热负荷，对等离子体的运行和控制产生不利影响。</w:t>
      </w:r>
    </w:p>
    <w:p w14:paraId="37C864AF" w14:textId="77777777" w:rsidR="006D0CDE" w:rsidRDefault="006D0CDE">
      <w:pPr>
        <w:pStyle w:val="af3"/>
        <w:spacing w:beforeLines="0" w:afterLines="0"/>
        <w:outlineLvl w:val="1"/>
        <w:rPr>
          <w:rFonts w:ascii="Times New Roman"/>
        </w:rPr>
      </w:pPr>
    </w:p>
    <w:p w14:paraId="1DCB605F" w14:textId="77777777" w:rsidR="006D0CDE" w:rsidRDefault="00000000">
      <w:pPr>
        <w:pStyle w:val="af3"/>
        <w:numPr>
          <w:ilvl w:val="1"/>
          <w:numId w:val="0"/>
        </w:numPr>
        <w:spacing w:beforeLines="0" w:afterLines="0"/>
        <w:ind w:left="708"/>
        <w:outlineLvl w:val="1"/>
        <w:rPr>
          <w:rFonts w:ascii="Times New Roman"/>
        </w:rPr>
      </w:pPr>
      <w:r>
        <w:rPr>
          <w:rFonts w:ascii="Times New Roman" w:hint="eastAsia"/>
        </w:rPr>
        <w:t>吸收</w:t>
      </w:r>
      <w:r>
        <w:rPr>
          <w:rFonts w:ascii="Times New Roman"/>
        </w:rPr>
        <w:t>功率</w:t>
      </w:r>
      <w:r>
        <w:rPr>
          <w:rFonts w:ascii="Times New Roman" w:hint="eastAsia"/>
        </w:rPr>
        <w:t>密度</w:t>
      </w:r>
      <w:r>
        <w:rPr>
          <w:rFonts w:ascii="Times New Roman" w:hint="eastAsia"/>
        </w:rPr>
        <w:t xml:space="preserve"> Absorbed power density</w:t>
      </w:r>
    </w:p>
    <w:p w14:paraId="1E3CEB57" w14:textId="77777777" w:rsidR="006D0CDE" w:rsidRDefault="00000000">
      <w:pPr>
        <w:pStyle w:val="affffffffffff6"/>
        <w:rPr>
          <w:rFonts w:ascii="Times New Roman"/>
        </w:rPr>
      </w:pPr>
      <w:r>
        <w:rPr>
          <w:rFonts w:ascii="Times New Roman" w:hint="eastAsia"/>
        </w:rPr>
        <w:t>材料或模块表面在单位面积内吸收的电子束功率，单位</w:t>
      </w:r>
      <w:r>
        <w:rPr>
          <w:rFonts w:ascii="Times New Roman" w:hint="eastAsia"/>
        </w:rPr>
        <w:t>W/m</w:t>
      </w:r>
      <w:r>
        <w:rPr>
          <w:rFonts w:ascii="Times New Roman" w:hint="eastAsia"/>
          <w:vertAlign w:val="superscript"/>
        </w:rPr>
        <w:t>2</w:t>
      </w:r>
      <w:r>
        <w:rPr>
          <w:rFonts w:ascii="Times New Roman" w:hint="eastAsia"/>
        </w:rPr>
        <w:t>。</w:t>
      </w:r>
    </w:p>
    <w:p w14:paraId="221D1F61" w14:textId="77777777" w:rsidR="006D0CDE" w:rsidRDefault="006D0CDE">
      <w:pPr>
        <w:pStyle w:val="af3"/>
        <w:spacing w:beforeLines="0" w:afterLines="0"/>
        <w:outlineLvl w:val="1"/>
        <w:rPr>
          <w:rFonts w:ascii="Times New Roman"/>
        </w:rPr>
      </w:pPr>
    </w:p>
    <w:p w14:paraId="52499D9C" w14:textId="77777777" w:rsidR="006D0CDE" w:rsidRDefault="00000000">
      <w:pPr>
        <w:pStyle w:val="af3"/>
        <w:numPr>
          <w:ilvl w:val="1"/>
          <w:numId w:val="0"/>
        </w:numPr>
        <w:spacing w:beforeLines="0" w:afterLines="0"/>
        <w:ind w:left="708"/>
        <w:outlineLvl w:val="1"/>
        <w:rPr>
          <w:rFonts w:ascii="Times New Roman"/>
        </w:rPr>
      </w:pPr>
      <w:r>
        <w:rPr>
          <w:rFonts w:ascii="Times New Roman" w:hint="eastAsia"/>
        </w:rPr>
        <w:t>吸收能量密度</w:t>
      </w:r>
      <w:r>
        <w:rPr>
          <w:rFonts w:ascii="Times New Roman" w:hint="eastAsia"/>
        </w:rPr>
        <w:t xml:space="preserve"> Absorbed energy density</w:t>
      </w:r>
    </w:p>
    <w:p w14:paraId="6D304D8D" w14:textId="77777777" w:rsidR="006D0CDE" w:rsidRDefault="00000000">
      <w:pPr>
        <w:pStyle w:val="affffffffffff6"/>
        <w:rPr>
          <w:rFonts w:ascii="Times New Roman"/>
        </w:rPr>
      </w:pPr>
      <w:r>
        <w:rPr>
          <w:rFonts w:ascii="Times New Roman" w:hint="eastAsia"/>
        </w:rPr>
        <w:t>材料或模块表面在单位面积内吸收的电子束能量，单位</w:t>
      </w:r>
      <w:r>
        <w:rPr>
          <w:rFonts w:ascii="Times New Roman" w:hint="eastAsia"/>
        </w:rPr>
        <w:t>J/m</w:t>
      </w:r>
      <w:r>
        <w:rPr>
          <w:rFonts w:ascii="Times New Roman" w:hint="eastAsia"/>
          <w:vertAlign w:val="superscript"/>
        </w:rPr>
        <w:t>2</w:t>
      </w:r>
      <w:r>
        <w:rPr>
          <w:rFonts w:ascii="Times New Roman" w:hint="eastAsia"/>
        </w:rPr>
        <w:t>。</w:t>
      </w:r>
    </w:p>
    <w:bookmarkEnd w:id="36"/>
    <w:p w14:paraId="711BF8EE" w14:textId="77777777" w:rsidR="006D0CDE" w:rsidRDefault="006D0CDE">
      <w:pPr>
        <w:pStyle w:val="affffffffffff6"/>
        <w:ind w:firstLineChars="0" w:firstLine="0"/>
        <w:rPr>
          <w:rFonts w:ascii="Times New Roman"/>
        </w:rPr>
      </w:pPr>
    </w:p>
    <w:p w14:paraId="5929B314" w14:textId="77777777" w:rsidR="006D0CDE" w:rsidRDefault="00000000">
      <w:pPr>
        <w:pStyle w:val="afff3"/>
        <w:spacing w:before="312" w:after="312"/>
      </w:pPr>
      <w:bookmarkStart w:id="39" w:name="_Toc190356786"/>
      <w:r>
        <w:rPr>
          <w:rFonts w:hint="eastAsia"/>
        </w:rPr>
        <w:t>测试原理</w:t>
      </w:r>
      <w:bookmarkEnd w:id="39"/>
    </w:p>
    <w:p w14:paraId="2FC7E068" w14:textId="77777777" w:rsidR="006D0CDE" w:rsidRDefault="00000000">
      <w:pPr>
        <w:pStyle w:val="affffff1"/>
        <w:spacing w:line="360" w:lineRule="auto"/>
        <w:ind w:firstLine="420"/>
        <w:rPr>
          <w:rFonts w:ascii="Times New Roman"/>
        </w:rPr>
      </w:pPr>
      <w:r>
        <w:rPr>
          <w:rFonts w:ascii="Times New Roman" w:hint="eastAsia"/>
        </w:rPr>
        <w:t>在聚变堆装置内部，面向等离子体材料会受到中子、离子、高热负荷这三重辐照，本测试主要利用高能电子束对面向等离子体材料的高热负荷进行模拟，从而对其高热负荷性能进行评估。本测试</w:t>
      </w:r>
      <w:r>
        <w:rPr>
          <w:rFonts w:ascii="Times New Roman"/>
        </w:rPr>
        <w:t>采用高能电子束</w:t>
      </w:r>
      <w:r>
        <w:rPr>
          <w:rFonts w:ascii="Times New Roman" w:hint="eastAsia"/>
        </w:rPr>
        <w:t>对面向等离子体材料对辐照，高能电子束</w:t>
      </w:r>
      <w:r>
        <w:rPr>
          <w:rFonts w:ascii="Times New Roman"/>
        </w:rPr>
        <w:t>以</w:t>
      </w:r>
      <w:r>
        <w:rPr>
          <w:rFonts w:ascii="Times New Roman" w:hint="eastAsia"/>
        </w:rPr>
        <w:t>极高</w:t>
      </w:r>
      <w:r>
        <w:rPr>
          <w:rFonts w:ascii="Times New Roman"/>
        </w:rPr>
        <w:t>频率在在材料表面进行快速</w:t>
      </w:r>
      <w:r>
        <w:rPr>
          <w:rFonts w:ascii="Times New Roman" w:hint="eastAsia"/>
        </w:rPr>
        <w:t>均匀</w:t>
      </w:r>
      <w:r>
        <w:rPr>
          <w:rFonts w:ascii="Times New Roman"/>
        </w:rPr>
        <w:t>扫描</w:t>
      </w:r>
      <w:r>
        <w:rPr>
          <w:rFonts w:ascii="Times New Roman" w:hint="eastAsia"/>
        </w:rPr>
        <w:t>从而实现对材料的均匀加热</w:t>
      </w:r>
      <w:r>
        <w:rPr>
          <w:rFonts w:ascii="Times New Roman"/>
        </w:rPr>
        <w:t>（扫描方式如图</w:t>
      </w:r>
      <w:r>
        <w:rPr>
          <w:rFonts w:ascii="Times New Roman"/>
        </w:rPr>
        <w:t>1</w:t>
      </w:r>
      <w:r>
        <w:rPr>
          <w:rFonts w:ascii="Times New Roman"/>
        </w:rPr>
        <w:t>所示）</w:t>
      </w:r>
      <w:r>
        <w:rPr>
          <w:rFonts w:ascii="Times New Roman" w:hint="eastAsia"/>
        </w:rPr>
        <w:t>。</w:t>
      </w:r>
      <w:r>
        <w:rPr>
          <w:rFonts w:ascii="Times New Roman"/>
        </w:rPr>
        <w:t>电子枪钨阴极射出的自由电子经加速电压加速，通过电磁线圈会聚成一束高功率密度的电子束；当高能电子束冲击到工件时，电子束的动能立即转变成为热能，产生出高温</w:t>
      </w:r>
      <w:r>
        <w:rPr>
          <w:rFonts w:ascii="Times New Roman" w:hint="eastAsia"/>
        </w:rPr>
        <w:t>；</w:t>
      </w:r>
      <w:r>
        <w:rPr>
          <w:rFonts w:ascii="Times New Roman"/>
        </w:rPr>
        <w:t>从而模拟聚变堆高热负荷对面向等离子体材料和模块的表面进行均匀加热，同时通过冷却水将沉积的热量带走，具体的实验过程</w:t>
      </w:r>
      <w:r>
        <w:rPr>
          <w:rFonts w:ascii="Times New Roman" w:hint="eastAsia"/>
        </w:rPr>
        <w:t>及设备</w:t>
      </w:r>
      <w:r>
        <w:rPr>
          <w:rFonts w:ascii="Times New Roman"/>
        </w:rPr>
        <w:t>见图</w:t>
      </w:r>
      <w:r>
        <w:rPr>
          <w:rFonts w:ascii="Times New Roman"/>
        </w:rPr>
        <w:t>2</w:t>
      </w:r>
      <w:r>
        <w:rPr>
          <w:rFonts w:ascii="Times New Roman"/>
        </w:rPr>
        <w:t>。采用红外测温方法实时观察</w:t>
      </w:r>
      <w:r>
        <w:rPr>
          <w:rFonts w:ascii="Times New Roman" w:hint="eastAsia"/>
        </w:rPr>
        <w:t>模块</w:t>
      </w:r>
      <w:r>
        <w:rPr>
          <w:rFonts w:ascii="Times New Roman"/>
        </w:rPr>
        <w:t>表面温度变化，采用热电偶对水冷模块的界面和体温度进行测量。最终根据测试中材料表面温度变化和测试前后材料表面形貌变化、模块界面缺陷产生等对材料和模块的耐高热负荷性能和寿命进行评估。</w:t>
      </w:r>
    </w:p>
    <w:p w14:paraId="21F8BCF7" w14:textId="77777777" w:rsidR="006D0CDE" w:rsidRDefault="00000000">
      <w:pPr>
        <w:pStyle w:val="affffff1"/>
        <w:spacing w:line="360" w:lineRule="auto"/>
        <w:ind w:firstLineChars="0" w:firstLine="0"/>
        <w:jc w:val="center"/>
        <w:rPr>
          <w:rFonts w:ascii="Times New Roman"/>
        </w:rPr>
      </w:pPr>
      <w:r>
        <w:rPr>
          <w:rFonts w:ascii="Times New Roman"/>
          <w:noProof/>
        </w:rPr>
        <w:lastRenderedPageBreak/>
        <w:drawing>
          <wp:inline distT="0" distB="0" distL="114300" distR="114300" wp14:anchorId="10B24D7C" wp14:editId="235347F8">
            <wp:extent cx="3251200" cy="2626995"/>
            <wp:effectExtent l="0" t="0" r="6350" b="1905"/>
            <wp:docPr id="1296473975" name="图片 1296473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473975" name="图片 1296473975"/>
                    <pic:cNvPicPr>
                      <a:picLocks noChangeAspect="1"/>
                    </pic:cNvPicPr>
                  </pic:nvPicPr>
                  <pic:blipFill>
                    <a:blip r:embed="rId16"/>
                    <a:srcRect l="2974" t="1926" r="1135" b="2792"/>
                    <a:stretch>
                      <a:fillRect/>
                    </a:stretch>
                  </pic:blipFill>
                  <pic:spPr>
                    <a:xfrm>
                      <a:off x="0" y="0"/>
                      <a:ext cx="3251200" cy="2626995"/>
                    </a:xfrm>
                    <a:prstGeom prst="rect">
                      <a:avLst/>
                    </a:prstGeom>
                    <a:noFill/>
                    <a:ln>
                      <a:noFill/>
                    </a:ln>
                  </pic:spPr>
                </pic:pic>
              </a:graphicData>
            </a:graphic>
          </wp:inline>
        </w:drawing>
      </w:r>
    </w:p>
    <w:p w14:paraId="5E7618A2" w14:textId="77777777" w:rsidR="006D0CDE" w:rsidRDefault="00000000">
      <w:pPr>
        <w:pStyle w:val="aff3"/>
        <w:spacing w:before="156" w:after="156" w:line="360" w:lineRule="auto"/>
        <w:rPr>
          <w:rFonts w:ascii="Times New Roman" w:eastAsia="宋体"/>
        </w:rPr>
      </w:pPr>
      <w:r>
        <w:rPr>
          <w:rFonts w:ascii="Times New Roman" w:eastAsia="宋体"/>
        </w:rPr>
        <w:t>电子束扫描轨迹示意图</w:t>
      </w:r>
    </w:p>
    <w:p w14:paraId="739BF4F0" w14:textId="77777777" w:rsidR="006D0CDE" w:rsidRDefault="00000000">
      <w:pPr>
        <w:pStyle w:val="affffff1"/>
        <w:spacing w:line="360" w:lineRule="auto"/>
        <w:ind w:firstLine="420"/>
        <w:jc w:val="center"/>
        <w:rPr>
          <w:rFonts w:ascii="Times New Roman"/>
        </w:rPr>
      </w:pPr>
      <w:r>
        <w:rPr>
          <w:rFonts w:ascii="Times New Roman" w:hint="eastAsia"/>
          <w:noProof/>
        </w:rPr>
        <w:drawing>
          <wp:inline distT="0" distB="0" distL="114300" distR="114300" wp14:anchorId="4CFCB83B" wp14:editId="16347FAF">
            <wp:extent cx="3790315" cy="3797935"/>
            <wp:effectExtent l="0" t="0" r="635" b="2540"/>
            <wp:docPr id="3" name="图片 3" descr="175084105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50841052690"/>
                    <pic:cNvPicPr>
                      <a:picLocks noChangeAspect="1"/>
                    </pic:cNvPicPr>
                  </pic:nvPicPr>
                  <pic:blipFill>
                    <a:blip r:embed="rId17"/>
                    <a:stretch>
                      <a:fillRect/>
                    </a:stretch>
                  </pic:blipFill>
                  <pic:spPr>
                    <a:xfrm>
                      <a:off x="0" y="0"/>
                      <a:ext cx="3790315" cy="3797935"/>
                    </a:xfrm>
                    <a:prstGeom prst="rect">
                      <a:avLst/>
                    </a:prstGeom>
                  </pic:spPr>
                </pic:pic>
              </a:graphicData>
            </a:graphic>
          </wp:inline>
        </w:drawing>
      </w:r>
    </w:p>
    <w:p w14:paraId="41107F38" w14:textId="77777777" w:rsidR="006D0CDE" w:rsidRDefault="00000000">
      <w:pPr>
        <w:pStyle w:val="affffff1"/>
        <w:spacing w:line="360" w:lineRule="auto"/>
        <w:ind w:firstLine="420"/>
        <w:jc w:val="center"/>
        <w:rPr>
          <w:rFonts w:ascii="Times New Roman"/>
          <w:highlight w:val="yellow"/>
        </w:rPr>
      </w:pPr>
      <w:r>
        <w:rPr>
          <w:rFonts w:ascii="Times New Roman" w:hint="eastAsia"/>
        </w:rPr>
        <w:t>图</w:t>
      </w:r>
      <w:r>
        <w:rPr>
          <w:rFonts w:ascii="Times New Roman" w:hint="eastAsia"/>
        </w:rPr>
        <w:t xml:space="preserve">2 </w:t>
      </w:r>
      <w:r>
        <w:rPr>
          <w:rFonts w:ascii="Times New Roman" w:hint="eastAsia"/>
        </w:rPr>
        <w:t>设备示意图</w:t>
      </w:r>
    </w:p>
    <w:p w14:paraId="30ED4DB4" w14:textId="77777777" w:rsidR="006D0CDE" w:rsidRDefault="00000000">
      <w:pPr>
        <w:pStyle w:val="afff3"/>
        <w:spacing w:before="312" w:after="312"/>
      </w:pPr>
      <w:bookmarkStart w:id="40" w:name="_Toc190356787"/>
      <w:r>
        <w:rPr>
          <w:rFonts w:hint="eastAsia"/>
        </w:rPr>
        <w:t>测试设备及要求</w:t>
      </w:r>
      <w:bookmarkEnd w:id="40"/>
    </w:p>
    <w:p w14:paraId="1ACABB60" w14:textId="77777777" w:rsidR="006D0CDE" w:rsidRDefault="00000000">
      <w:pPr>
        <w:pStyle w:val="afff4"/>
        <w:spacing w:before="156" w:after="156"/>
        <w:rPr>
          <w:rFonts w:ascii="宋体" w:eastAsia="宋体" w:hAnsi="宋体" w:cs="宋体" w:hint="eastAsia"/>
          <w:b/>
          <w:bCs/>
        </w:rPr>
      </w:pPr>
      <w:r>
        <w:rPr>
          <w:rFonts w:ascii="宋体" w:eastAsia="宋体" w:hAnsi="宋体" w:cs="宋体" w:hint="eastAsia"/>
          <w:b/>
          <w:bCs/>
        </w:rPr>
        <w:lastRenderedPageBreak/>
        <w:t>设备主体</w:t>
      </w:r>
    </w:p>
    <w:p w14:paraId="6E830234" w14:textId="77777777" w:rsidR="006D0CDE" w:rsidRDefault="00000000">
      <w:pPr>
        <w:pStyle w:val="affffff1"/>
        <w:ind w:firstLine="420"/>
      </w:pPr>
      <w:r>
        <w:rPr>
          <w:rFonts w:hint="eastAsia"/>
        </w:rPr>
        <w:t>设备由以下功能系统构成：电子枪系统、真空系统、控制系统、冷却水系统、数据采集和监测系统组成。电子枪系统提供高能电子束并通过电磁场实现电子束在模块表面指定区域的高速扫描加热；真空系统为电子束提供工作的真空环境；控制系统主要用于电子枪、真空室的控制以及安全互锁；冷却水系统通过模块内置流道带走电子束沉积在模块表面的热量；数据采集系统用于测试数据的采集和监控。</w:t>
      </w:r>
    </w:p>
    <w:p w14:paraId="32F864CD" w14:textId="77777777" w:rsidR="006D0CDE" w:rsidRDefault="00000000">
      <w:pPr>
        <w:pStyle w:val="afff5"/>
        <w:spacing w:before="156" w:after="156"/>
        <w:rPr>
          <w:rFonts w:ascii="Times New Roman" w:eastAsia="宋体"/>
          <w:b/>
          <w:bCs/>
        </w:rPr>
      </w:pPr>
      <w:r>
        <w:rPr>
          <w:rFonts w:ascii="Times New Roman" w:eastAsia="宋体" w:hint="eastAsia"/>
          <w:b/>
          <w:bCs/>
        </w:rPr>
        <w:t>电子枪系统</w:t>
      </w:r>
    </w:p>
    <w:p w14:paraId="7E3FD320" w14:textId="77777777" w:rsidR="006D0CDE" w:rsidRDefault="00000000">
      <w:pPr>
        <w:pStyle w:val="affffff1"/>
        <w:ind w:firstLine="420"/>
        <w:rPr>
          <w:rFonts w:ascii="Times New Roman"/>
        </w:rPr>
      </w:pPr>
      <w:r>
        <w:rPr>
          <w:rFonts w:ascii="Times New Roman" w:hint="eastAsia"/>
        </w:rPr>
        <w:t>电子枪分为两类：（</w:t>
      </w:r>
      <w:r>
        <w:rPr>
          <w:rFonts w:ascii="Times New Roman" w:hint="eastAsia"/>
        </w:rPr>
        <w:t>1</w:t>
      </w:r>
      <w:r>
        <w:rPr>
          <w:rFonts w:ascii="Times New Roman" w:hint="eastAsia"/>
        </w:rPr>
        <w:t>）高能焊接用电子枪和（</w:t>
      </w:r>
      <w:r>
        <w:rPr>
          <w:rFonts w:ascii="Times New Roman" w:hint="eastAsia"/>
        </w:rPr>
        <w:t>2</w:t>
      </w:r>
      <w:r>
        <w:rPr>
          <w:rFonts w:ascii="Times New Roman" w:hint="eastAsia"/>
        </w:rPr>
        <w:t>）大功率熔炼枪。两类电子枪的组成和测试方法一致。电子枪的功率应满足待测材料和模块的加热需求；电子枪对材料或模块的加热应保证加热的均匀性。（扫描频率）</w:t>
      </w:r>
    </w:p>
    <w:p w14:paraId="71937DD7" w14:textId="77777777" w:rsidR="006D0CDE" w:rsidRDefault="00000000">
      <w:pPr>
        <w:pStyle w:val="affffff1"/>
        <w:ind w:firstLine="420"/>
        <w:rPr>
          <w:rFonts w:ascii="Times New Roman"/>
        </w:rPr>
      </w:pPr>
      <w:r>
        <w:rPr>
          <w:rFonts w:ascii="Times New Roman" w:hint="eastAsia"/>
        </w:rPr>
        <w:t>建议：高能焊接用电子枪的加速电压不宜超过</w:t>
      </w:r>
      <w:r>
        <w:rPr>
          <w:rFonts w:ascii="Times New Roman" w:hint="eastAsia"/>
        </w:rPr>
        <w:t>150kV</w:t>
      </w:r>
      <w:r>
        <w:rPr>
          <w:rFonts w:ascii="Times New Roman" w:hint="eastAsia"/>
        </w:rPr>
        <w:t>，扫描频率不宜低于</w:t>
      </w:r>
      <w:r>
        <w:rPr>
          <w:rFonts w:ascii="Times New Roman" w:hint="eastAsia"/>
        </w:rPr>
        <w:t>10kHz</w:t>
      </w:r>
      <w:r>
        <w:rPr>
          <w:rFonts w:ascii="Times New Roman" w:hint="eastAsia"/>
        </w:rPr>
        <w:t>，电子束束斑直径不宜超过</w:t>
      </w:r>
      <w:r>
        <w:rPr>
          <w:rFonts w:ascii="Times New Roman" w:hint="eastAsia"/>
        </w:rPr>
        <w:t>2mm</w:t>
      </w:r>
      <w:r>
        <w:rPr>
          <w:rFonts w:ascii="Times New Roman" w:hint="eastAsia"/>
        </w:rPr>
        <w:t>；大功率熔炼枪加速电压不宜超过</w:t>
      </w:r>
      <w:r>
        <w:rPr>
          <w:rFonts w:ascii="Times New Roman" w:hint="eastAsia"/>
        </w:rPr>
        <w:t>60kV</w:t>
      </w:r>
      <w:r>
        <w:rPr>
          <w:rFonts w:ascii="Times New Roman" w:hint="eastAsia"/>
        </w:rPr>
        <w:t>，扫描频率不宜低于</w:t>
      </w:r>
      <w:r>
        <w:rPr>
          <w:rFonts w:ascii="Times New Roman" w:hint="eastAsia"/>
        </w:rPr>
        <w:t>1kHz</w:t>
      </w:r>
      <w:r>
        <w:rPr>
          <w:rFonts w:ascii="Times New Roman" w:hint="eastAsia"/>
        </w:rPr>
        <w:t>，电子束束斑直径不宜超过</w:t>
      </w:r>
      <w:r>
        <w:rPr>
          <w:rFonts w:ascii="Times New Roman" w:hint="eastAsia"/>
        </w:rPr>
        <w:t>10mm</w:t>
      </w:r>
      <w:r>
        <w:rPr>
          <w:rFonts w:ascii="Times New Roman" w:hint="eastAsia"/>
        </w:rPr>
        <w:t>。</w:t>
      </w:r>
      <w:r>
        <w:rPr>
          <w:rFonts w:ascii="Times New Roman"/>
        </w:rPr>
        <w:t>其它要求参考</w:t>
      </w:r>
      <w:r>
        <w:rPr>
          <w:rFonts w:ascii="Times New Roman"/>
        </w:rPr>
        <w:t>ISO 14744</w:t>
      </w:r>
      <w:r>
        <w:rPr>
          <w:rFonts w:ascii="Times New Roman"/>
        </w:rPr>
        <w:t>和</w:t>
      </w:r>
      <w:r>
        <w:rPr>
          <w:rFonts w:ascii="Times New Roman"/>
        </w:rPr>
        <w:t>GB/T 10066.7</w:t>
      </w:r>
      <w:r>
        <w:rPr>
          <w:rFonts w:ascii="Times New Roman" w:hint="eastAsia"/>
        </w:rPr>
        <w:t>。</w:t>
      </w:r>
    </w:p>
    <w:p w14:paraId="424F8DD4" w14:textId="77777777" w:rsidR="006D0CDE" w:rsidRDefault="00000000">
      <w:pPr>
        <w:pStyle w:val="afff5"/>
        <w:spacing w:before="156" w:after="156"/>
        <w:rPr>
          <w:rFonts w:ascii="Times New Roman" w:eastAsia="宋体"/>
          <w:b/>
          <w:bCs/>
        </w:rPr>
      </w:pPr>
      <w:r>
        <w:rPr>
          <w:rFonts w:ascii="Times New Roman" w:eastAsia="宋体" w:hint="eastAsia"/>
          <w:b/>
          <w:bCs/>
        </w:rPr>
        <w:t>冷却水系统</w:t>
      </w:r>
    </w:p>
    <w:p w14:paraId="0100C713" w14:textId="77777777" w:rsidR="006D0CDE" w:rsidRDefault="00000000">
      <w:pPr>
        <w:pStyle w:val="affffff1"/>
        <w:ind w:firstLine="420"/>
        <w:rPr>
          <w:rFonts w:ascii="Times New Roman"/>
        </w:rPr>
      </w:pPr>
      <w:r>
        <w:rPr>
          <w:rFonts w:ascii="Times New Roman" w:hint="eastAsia"/>
        </w:rPr>
        <w:t>冷却水系统的主要参数为冷却水压力、流量和温度；对于面向等离子体材料的高热负荷实验，冷却水温度为室温；对于模块实验，冷却水为常温水或高温高压水</w:t>
      </w:r>
      <w:r>
        <w:rPr>
          <w:rFonts w:ascii="Times New Roman"/>
        </w:rPr>
        <w:t>。</w:t>
      </w:r>
    </w:p>
    <w:p w14:paraId="15E1DB34" w14:textId="77777777" w:rsidR="006D0CDE" w:rsidRDefault="00000000">
      <w:pPr>
        <w:pStyle w:val="afff5"/>
        <w:spacing w:before="156" w:after="156"/>
        <w:rPr>
          <w:rFonts w:ascii="Times New Roman" w:eastAsia="宋体"/>
          <w:b/>
          <w:bCs/>
        </w:rPr>
      </w:pPr>
      <w:r>
        <w:rPr>
          <w:rFonts w:ascii="Times New Roman" w:eastAsia="宋体" w:hint="eastAsia"/>
          <w:b/>
          <w:bCs/>
        </w:rPr>
        <w:t>真空系统</w:t>
      </w:r>
    </w:p>
    <w:p w14:paraId="14A30F52" w14:textId="77777777" w:rsidR="006D0CDE" w:rsidRDefault="00000000">
      <w:pPr>
        <w:pStyle w:val="affffff1"/>
        <w:ind w:firstLine="420"/>
        <w:rPr>
          <w:rFonts w:ascii="Times New Roman"/>
          <w:highlight w:val="yellow"/>
        </w:rPr>
      </w:pPr>
      <w:r>
        <w:rPr>
          <w:rFonts w:ascii="Times New Roman"/>
        </w:rPr>
        <w:t>为了保持电子束在</w:t>
      </w:r>
      <w:r>
        <w:rPr>
          <w:rFonts w:ascii="Times New Roman" w:hint="eastAsia"/>
        </w:rPr>
        <w:t>模块</w:t>
      </w:r>
      <w:r>
        <w:rPr>
          <w:rFonts w:ascii="Times New Roman"/>
        </w:rPr>
        <w:t>表面的聚焦效果，</w:t>
      </w:r>
      <w:r>
        <w:rPr>
          <w:rFonts w:ascii="Times New Roman" w:hint="eastAsia"/>
        </w:rPr>
        <w:t>样品</w:t>
      </w:r>
      <w:r>
        <w:rPr>
          <w:rFonts w:ascii="Times New Roman"/>
        </w:rPr>
        <w:t>真空室</w:t>
      </w:r>
      <w:r>
        <w:rPr>
          <w:rFonts w:ascii="Times New Roman" w:hint="eastAsia"/>
        </w:rPr>
        <w:t>真空度在测试时</w:t>
      </w:r>
      <w:r>
        <w:rPr>
          <w:rFonts w:ascii="Times New Roman"/>
        </w:rPr>
        <w:t>应</w:t>
      </w:r>
      <w:r>
        <w:rPr>
          <w:rFonts w:ascii="Times New Roman" w:hint="eastAsia"/>
        </w:rPr>
        <w:t>低于</w:t>
      </w:r>
      <w:r>
        <w:rPr>
          <w:rFonts w:ascii="Times New Roman" w:hint="eastAsia"/>
        </w:rPr>
        <w:t>3</w:t>
      </w:r>
      <w:r>
        <w:rPr>
          <w:rFonts w:ascii="Times New Roman"/>
        </w:rPr>
        <w:t>×10</w:t>
      </w:r>
      <w:r>
        <w:rPr>
          <w:rFonts w:ascii="Times New Roman"/>
          <w:vertAlign w:val="superscript"/>
        </w:rPr>
        <w:t>-2</w:t>
      </w:r>
      <w:r>
        <w:rPr>
          <w:rFonts w:ascii="Times New Roman" w:hint="eastAsia"/>
          <w:vertAlign w:val="superscript"/>
        </w:rPr>
        <w:t xml:space="preserve"> </w:t>
      </w:r>
      <w:r>
        <w:rPr>
          <w:rFonts w:ascii="Times New Roman"/>
        </w:rPr>
        <w:t>Pa</w:t>
      </w:r>
      <w:r>
        <w:rPr>
          <w:rFonts w:ascii="Times New Roman"/>
        </w:rPr>
        <w:t>。</w:t>
      </w:r>
    </w:p>
    <w:p w14:paraId="4E8F68F5" w14:textId="77777777" w:rsidR="006D0CDE" w:rsidRDefault="00000000">
      <w:pPr>
        <w:pStyle w:val="afff5"/>
        <w:spacing w:before="156" w:after="156"/>
        <w:rPr>
          <w:rFonts w:ascii="Times New Roman" w:eastAsia="宋体"/>
          <w:b/>
          <w:bCs/>
        </w:rPr>
      </w:pPr>
      <w:r>
        <w:rPr>
          <w:rFonts w:ascii="Times New Roman" w:eastAsia="宋体" w:hint="eastAsia"/>
          <w:b/>
          <w:bCs/>
        </w:rPr>
        <w:t>控制</w:t>
      </w:r>
      <w:r>
        <w:rPr>
          <w:rFonts w:ascii="Times New Roman" w:eastAsia="宋体"/>
          <w:b/>
          <w:bCs/>
        </w:rPr>
        <w:t>系统</w:t>
      </w:r>
    </w:p>
    <w:p w14:paraId="6EBA6EFB" w14:textId="77777777" w:rsidR="006D0CDE" w:rsidRDefault="00000000">
      <w:pPr>
        <w:pStyle w:val="affffff1"/>
        <w:ind w:firstLineChars="195" w:firstLine="409"/>
        <w:rPr>
          <w:rFonts w:ascii="Times New Roman"/>
        </w:rPr>
      </w:pPr>
      <w:r>
        <w:rPr>
          <w:rFonts w:ascii="Times New Roman" w:hint="eastAsia"/>
        </w:rPr>
        <w:t>控制系统用于电子枪、真空室、冷却水系统的控制，为保护人员、设备和实验的安全，控制系统应具有安全互锁功能。</w:t>
      </w:r>
    </w:p>
    <w:p w14:paraId="014091F7" w14:textId="77777777" w:rsidR="006D0CDE" w:rsidRDefault="00000000">
      <w:pPr>
        <w:pStyle w:val="afff5"/>
        <w:spacing w:before="156" w:after="156"/>
      </w:pPr>
      <w:r>
        <w:rPr>
          <w:rFonts w:ascii="Times New Roman" w:eastAsia="宋体"/>
          <w:b/>
          <w:bCs/>
        </w:rPr>
        <w:t>数据采集和监测系</w:t>
      </w:r>
      <w:r>
        <w:t>统</w:t>
      </w:r>
    </w:p>
    <w:p w14:paraId="252C7119" w14:textId="77777777" w:rsidR="006D0CDE" w:rsidRDefault="00000000">
      <w:pPr>
        <w:pStyle w:val="affffff1"/>
        <w:ind w:firstLine="420"/>
        <w:rPr>
          <w:rFonts w:ascii="Times New Roman"/>
        </w:rPr>
      </w:pPr>
      <w:r>
        <w:rPr>
          <w:rFonts w:ascii="Times New Roman" w:hint="eastAsia"/>
        </w:rPr>
        <w:t>该系统包括了红外热像仪、红外测温仪、热电偶、监控设备以及数据采集设备；其中，红外热像仪、红外测温仪用于监测材料和模块的表面温度变化以及温度分布。热电偶用于冷却水温度的监测、材料体温和模块界面温度的测量；监控设备用于屏蔽房以及真空室内部的监测；数据采集设备用于温度、电流、电压、流量、压力、红外测温仪等的数据记录。</w:t>
      </w:r>
    </w:p>
    <w:p w14:paraId="34FB80AF" w14:textId="77777777" w:rsidR="006D0CDE" w:rsidRDefault="00000000">
      <w:pPr>
        <w:pStyle w:val="afff4"/>
        <w:spacing w:before="156" w:after="156"/>
        <w:rPr>
          <w:rFonts w:ascii="宋体" w:eastAsia="宋体" w:hAnsi="宋体" w:cs="宋体" w:hint="eastAsia"/>
          <w:b/>
          <w:bCs/>
        </w:rPr>
      </w:pPr>
      <w:r>
        <w:rPr>
          <w:rFonts w:ascii="宋体" w:eastAsia="宋体" w:hAnsi="宋体" w:cs="宋体" w:hint="eastAsia"/>
          <w:b/>
          <w:bCs/>
        </w:rPr>
        <w:t>测温设备的温度标定</w:t>
      </w:r>
    </w:p>
    <w:p w14:paraId="2F848C2F" w14:textId="77777777" w:rsidR="006D0CDE" w:rsidRDefault="00000000">
      <w:pPr>
        <w:pStyle w:val="affffff1"/>
        <w:ind w:firstLine="420"/>
        <w:rPr>
          <w:rFonts w:ascii="Times New Roman"/>
        </w:rPr>
      </w:pPr>
      <w:r>
        <w:rPr>
          <w:rFonts w:ascii="Times New Roman"/>
        </w:rPr>
        <w:t>在高热负荷实验过程中，需要对样品的表面温度和水冷模块的界面温度进行测量。表面温度主要通过</w:t>
      </w:r>
      <w:bookmarkStart w:id="41" w:name="OLE_LINK153"/>
      <w:bookmarkStart w:id="42" w:name="OLE_LINK162"/>
      <w:r>
        <w:rPr>
          <w:rFonts w:ascii="Times New Roman"/>
        </w:rPr>
        <w:t>红外测温仪和红外热像仪</w:t>
      </w:r>
      <w:bookmarkEnd w:id="41"/>
      <w:bookmarkEnd w:id="42"/>
      <w:r>
        <w:rPr>
          <w:rFonts w:ascii="Times New Roman"/>
        </w:rPr>
        <w:t>测量；所选红外测量设备的测量量程需要覆盖高热负荷的引起的材料温度范围。其中，瞬态高热负荷实验由于电子束作用的时间极短，样品的表面温度需要高速红外测温仪进行测量，设备的响应时间需要小于</w:t>
      </w:r>
      <w:r>
        <w:rPr>
          <w:rFonts w:ascii="Times New Roman"/>
        </w:rPr>
        <w:t>10μs</w:t>
      </w:r>
      <w:r>
        <w:rPr>
          <w:rFonts w:ascii="Times New Roman"/>
        </w:rPr>
        <w:t>。对于稳态热负荷实验，其表面温度测量可以利用单色和双色的红外测温仪进行测量；表面温度分布通过红外热像仪测量，红外热像仪应满足</w:t>
      </w:r>
      <w:r>
        <w:rPr>
          <w:rFonts w:ascii="Times New Roman"/>
        </w:rPr>
        <w:t>GB/T 19870</w:t>
      </w:r>
      <w:r>
        <w:rPr>
          <w:rFonts w:ascii="Times New Roman"/>
        </w:rPr>
        <w:t>要求。。</w:t>
      </w:r>
    </w:p>
    <w:p w14:paraId="0B02B7AA" w14:textId="77777777" w:rsidR="006D0CDE" w:rsidRDefault="00000000">
      <w:pPr>
        <w:pStyle w:val="affffff1"/>
        <w:ind w:firstLine="420"/>
        <w:rPr>
          <w:rFonts w:ascii="Times New Roman"/>
        </w:rPr>
      </w:pPr>
      <w:r>
        <w:rPr>
          <w:rFonts w:ascii="Times New Roman"/>
        </w:rPr>
        <w:t>推荐标定方法：</w:t>
      </w:r>
    </w:p>
    <w:p w14:paraId="024CA2A8" w14:textId="77777777" w:rsidR="006D0CDE" w:rsidRDefault="00000000">
      <w:pPr>
        <w:pStyle w:val="affffff1"/>
        <w:ind w:firstLine="420"/>
        <w:rPr>
          <w:rFonts w:ascii="Times New Roman"/>
        </w:rPr>
      </w:pPr>
      <w:r>
        <w:rPr>
          <w:rFonts w:ascii="Times New Roman"/>
        </w:rPr>
        <w:t>红外热像仪和红外测温仪</w:t>
      </w:r>
      <w:r>
        <w:rPr>
          <w:rFonts w:ascii="Times New Roman" w:hint="eastAsia"/>
        </w:rPr>
        <w:t>的测温</w:t>
      </w:r>
      <w:r>
        <w:rPr>
          <w:rFonts w:ascii="Times New Roman"/>
        </w:rPr>
        <w:t>原理</w:t>
      </w:r>
      <w:r>
        <w:rPr>
          <w:rFonts w:ascii="Times New Roman" w:hint="eastAsia"/>
        </w:rPr>
        <w:t>均</w:t>
      </w:r>
      <w:r>
        <w:rPr>
          <w:rFonts w:ascii="Times New Roman"/>
        </w:rPr>
        <w:t>基于</w:t>
      </w:r>
      <w:r>
        <w:rPr>
          <w:rFonts w:ascii="Times New Roman" w:hint="eastAsia"/>
        </w:rPr>
        <w:t>发</w:t>
      </w:r>
      <w:r>
        <w:rPr>
          <w:rFonts w:ascii="Times New Roman"/>
        </w:rPr>
        <w:t>热物体的红外辐射特性</w:t>
      </w:r>
      <w:r>
        <w:rPr>
          <w:rFonts w:ascii="Times New Roman" w:hint="eastAsia"/>
        </w:rPr>
        <w:t>，其测温准确性与被测样品的红外发射系数密切相关。因此</w:t>
      </w:r>
      <w:r>
        <w:rPr>
          <w:rFonts w:ascii="Times New Roman"/>
        </w:rPr>
        <w:t>在高热负荷实验之前，需要对红外热像仪和红外测温仪进行校准，得到该轮实验所用材料的</w:t>
      </w:r>
      <w:r>
        <w:rPr>
          <w:rFonts w:ascii="Times New Roman" w:hint="eastAsia"/>
        </w:rPr>
        <w:t>红外发</w:t>
      </w:r>
      <w:r>
        <w:rPr>
          <w:rFonts w:ascii="Times New Roman"/>
        </w:rPr>
        <w:t>射系数。图</w:t>
      </w:r>
      <w:r>
        <w:rPr>
          <w:rFonts w:ascii="Times New Roman"/>
        </w:rPr>
        <w:t>3</w:t>
      </w:r>
      <w:r>
        <w:rPr>
          <w:rFonts w:ascii="Times New Roman"/>
        </w:rPr>
        <w:t>为温度校准的示意图，在被测材料的</w:t>
      </w:r>
      <w:r>
        <w:rPr>
          <w:rFonts w:ascii="Times New Roman" w:hint="eastAsia"/>
        </w:rPr>
        <w:t>侧面打孔（孔位于上下表</w:t>
      </w:r>
      <w:r>
        <w:rPr>
          <w:rFonts w:ascii="Times New Roman" w:hint="eastAsia"/>
        </w:rPr>
        <w:lastRenderedPageBreak/>
        <w:t>面中间位置）</w:t>
      </w:r>
      <w:r>
        <w:rPr>
          <w:rFonts w:ascii="Times New Roman"/>
        </w:rPr>
        <w:t>，热电偶</w:t>
      </w:r>
      <w:r>
        <w:rPr>
          <w:rFonts w:ascii="Times New Roman" w:hint="eastAsia"/>
        </w:rPr>
        <w:t>固定在</w:t>
      </w:r>
      <w:r>
        <w:rPr>
          <w:rFonts w:ascii="Times New Roman"/>
        </w:rPr>
        <w:t>孔中，</w:t>
      </w:r>
      <w:r>
        <w:rPr>
          <w:rFonts w:ascii="Times New Roman" w:hint="eastAsia"/>
        </w:rPr>
        <w:t>并</w:t>
      </w:r>
      <w:r>
        <w:rPr>
          <w:rFonts w:ascii="Times New Roman"/>
        </w:rPr>
        <w:t>将</w:t>
      </w:r>
      <w:r>
        <w:rPr>
          <w:rFonts w:ascii="Times New Roman" w:hint="eastAsia"/>
        </w:rPr>
        <w:t>被测样品</w:t>
      </w:r>
      <w:r>
        <w:rPr>
          <w:rFonts w:ascii="Times New Roman"/>
        </w:rPr>
        <w:t>悬空固定</w:t>
      </w:r>
      <w:r>
        <w:rPr>
          <w:rFonts w:ascii="Times New Roman" w:hint="eastAsia"/>
        </w:rPr>
        <w:t>。</w:t>
      </w:r>
      <w:r>
        <w:rPr>
          <w:rFonts w:ascii="Times New Roman"/>
        </w:rPr>
        <w:t>利用电子束装置加热</w:t>
      </w:r>
      <w:r>
        <w:rPr>
          <w:rFonts w:ascii="Times New Roman" w:hint="eastAsia"/>
        </w:rPr>
        <w:t>样品</w:t>
      </w:r>
      <w:r>
        <w:rPr>
          <w:rFonts w:ascii="Times New Roman"/>
        </w:rPr>
        <w:t>直到</w:t>
      </w:r>
      <w:r>
        <w:rPr>
          <w:rFonts w:ascii="Times New Roman" w:hint="eastAsia"/>
        </w:rPr>
        <w:t>样品</w:t>
      </w:r>
      <w:r>
        <w:rPr>
          <w:rFonts w:ascii="Times New Roman"/>
        </w:rPr>
        <w:t>达到热平衡</w:t>
      </w:r>
      <w:r>
        <w:rPr>
          <w:rFonts w:ascii="Times New Roman" w:hint="eastAsia"/>
        </w:rPr>
        <w:t>（热电偶温度维护不变）</w:t>
      </w:r>
      <w:r>
        <w:rPr>
          <w:rFonts w:ascii="Times New Roman"/>
        </w:rPr>
        <w:t>，调整红外热像仪和红外测温仪的</w:t>
      </w:r>
      <w:r>
        <w:rPr>
          <w:rFonts w:ascii="Times New Roman" w:hint="eastAsia"/>
        </w:rPr>
        <w:t>红外发</w:t>
      </w:r>
      <w:r>
        <w:rPr>
          <w:rFonts w:ascii="Times New Roman"/>
        </w:rPr>
        <w:t>射系数，使其与热电偶温度一致。此时，可以确认材料在</w:t>
      </w:r>
      <w:r>
        <w:rPr>
          <w:rFonts w:ascii="Times New Roman" w:hint="eastAsia"/>
        </w:rPr>
        <w:t>该</w:t>
      </w:r>
      <w:r>
        <w:rPr>
          <w:rFonts w:ascii="Times New Roman"/>
        </w:rPr>
        <w:t>温度下的</w:t>
      </w:r>
      <w:r>
        <w:rPr>
          <w:rFonts w:ascii="Times New Roman" w:hint="eastAsia"/>
        </w:rPr>
        <w:t>红外发</w:t>
      </w:r>
      <w:r>
        <w:rPr>
          <w:rFonts w:ascii="Times New Roman"/>
        </w:rPr>
        <w:t>射系数。通过此方法得到一系列的</w:t>
      </w:r>
      <w:r>
        <w:rPr>
          <w:rFonts w:ascii="Times New Roman" w:hint="eastAsia"/>
        </w:rPr>
        <w:t>红外发</w:t>
      </w:r>
      <w:r>
        <w:rPr>
          <w:rFonts w:ascii="Times New Roman"/>
        </w:rPr>
        <w:t>射系数，将测量值输入红外测温仪或者红外热像仪，得到该轮实验所用材料的</w:t>
      </w:r>
      <w:r>
        <w:rPr>
          <w:rFonts w:ascii="Times New Roman" w:hint="eastAsia"/>
        </w:rPr>
        <w:t>红外</w:t>
      </w:r>
      <w:r>
        <w:rPr>
          <w:rFonts w:ascii="Times New Roman"/>
        </w:rPr>
        <w:t>发射系数。</w:t>
      </w:r>
      <w:r>
        <w:rPr>
          <w:rFonts w:ascii="Times New Roman" w:hint="eastAsia"/>
        </w:rPr>
        <w:t>标定</w:t>
      </w:r>
      <w:r>
        <w:rPr>
          <w:rFonts w:ascii="Times New Roman"/>
        </w:rPr>
        <w:t>过程</w:t>
      </w:r>
      <w:r>
        <w:rPr>
          <w:rFonts w:ascii="Times New Roman" w:hint="eastAsia"/>
        </w:rPr>
        <w:t>应</w:t>
      </w:r>
      <w:r>
        <w:rPr>
          <w:rFonts w:ascii="Times New Roman"/>
        </w:rPr>
        <w:t>采用至少</w:t>
      </w:r>
      <w:r>
        <w:rPr>
          <w:rFonts w:ascii="Times New Roman"/>
        </w:rPr>
        <w:t>2</w:t>
      </w:r>
      <w:r>
        <w:rPr>
          <w:rFonts w:ascii="Times New Roman"/>
        </w:rPr>
        <w:t>根热电偶。</w:t>
      </w:r>
    </w:p>
    <w:p w14:paraId="5108B11A" w14:textId="77777777" w:rsidR="006D0CDE" w:rsidRDefault="00000000">
      <w:pPr>
        <w:pStyle w:val="affffff1"/>
        <w:ind w:firstLineChars="0" w:firstLine="0"/>
        <w:jc w:val="center"/>
        <w:rPr>
          <w:rFonts w:ascii="Times New Roman"/>
        </w:rPr>
      </w:pPr>
      <w:r>
        <w:rPr>
          <w:rFonts w:ascii="Times New Roman"/>
          <w:noProof/>
        </w:rPr>
        <mc:AlternateContent>
          <mc:Choice Requires="wps">
            <w:drawing>
              <wp:anchor distT="0" distB="0" distL="114300" distR="114300" simplePos="0" relativeHeight="251661312" behindDoc="0" locked="0" layoutInCell="1" allowOverlap="1" wp14:anchorId="771324A7" wp14:editId="347210D5">
                <wp:simplePos x="0" y="0"/>
                <wp:positionH relativeFrom="column">
                  <wp:posOffset>3278505</wp:posOffset>
                </wp:positionH>
                <wp:positionV relativeFrom="paragraph">
                  <wp:posOffset>17780</wp:posOffset>
                </wp:positionV>
                <wp:extent cx="848360" cy="345440"/>
                <wp:effectExtent l="0" t="0" r="0" b="0"/>
                <wp:wrapNone/>
                <wp:docPr id="4" name="文本框 2"/>
                <wp:cNvGraphicFramePr/>
                <a:graphic xmlns:a="http://schemas.openxmlformats.org/drawingml/2006/main">
                  <a:graphicData uri="http://schemas.microsoft.com/office/word/2010/wordprocessingShape">
                    <wps:wsp>
                      <wps:cNvSpPr txBox="1"/>
                      <wps:spPr>
                        <a:xfrm>
                          <a:off x="0" y="0"/>
                          <a:ext cx="848360" cy="345440"/>
                        </a:xfrm>
                        <a:prstGeom prst="rect">
                          <a:avLst/>
                        </a:prstGeom>
                        <a:noFill/>
                        <a:ln>
                          <a:noFill/>
                        </a:ln>
                      </wps:spPr>
                      <wps:txbx>
                        <w:txbxContent>
                          <w:p w14:paraId="32CAFE0C" w14:textId="77777777" w:rsidR="006D0CDE" w:rsidRDefault="00000000">
                            <w:pPr>
                              <w:ind w:firstLineChars="83" w:firstLine="183"/>
                              <w:rPr>
                                <w:b/>
                                <w:color w:val="FF0000"/>
                                <w:sz w:val="22"/>
                                <w:szCs w:val="20"/>
                              </w:rPr>
                            </w:pPr>
                            <w:r>
                              <w:rPr>
                                <w:rFonts w:ascii="Times New Roman" w:hAnsi="Times New Roman" w:cs="宋体" w:hint="eastAsia"/>
                                <w:b/>
                                <w:color w:val="FF0000"/>
                                <w:sz w:val="22"/>
                                <w:szCs w:val="20"/>
                                <w:lang w:bidi="ar"/>
                              </w:rPr>
                              <w:t>热电偶</w:t>
                            </w:r>
                          </w:p>
                        </w:txbxContent>
                      </wps:txbx>
                      <wps:bodyPr>
                        <a:spAutoFit/>
                      </wps:bodyPr>
                    </wps:wsp>
                  </a:graphicData>
                </a:graphic>
                <wp14:sizeRelH relativeFrom="page">
                  <wp14:pctWidth>0</wp14:pctWidth>
                </wp14:sizeRelH>
                <wp14:sizeRelV relativeFrom="margin">
                  <wp14:pctHeight>20000</wp14:pctHeight>
                </wp14:sizeRelV>
              </wp:anchor>
            </w:drawing>
          </mc:Choice>
          <mc:Fallback>
            <w:pict>
              <v:shapetype w14:anchorId="771324A7" id="_x0000_t202" coordsize="21600,21600" o:spt="202" path="m,l,21600r21600,l21600,xe">
                <v:stroke joinstyle="miter"/>
                <v:path gradientshapeok="t" o:connecttype="rect"/>
              </v:shapetype>
              <v:shape id="文本框 2" o:spid="_x0000_s1026" type="#_x0000_t202" style="position:absolute;left:0;text-align:left;margin-left:258.15pt;margin-top:1.4pt;width:66.8pt;height:27.2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" filled="f" stroked="f">
                <v:textbox style="mso-fit-shape-to-text:t">
                  <w:txbxContent>
                    <w:p w14:paraId="32CAFE0C" w14:textId="77777777" w:rsidR="006D0CDE" w:rsidRDefault="00000000">
                      <w:pPr>
                        <w:ind w:firstLineChars="83" w:firstLine="183"/>
                        <w:rPr>
                          <w:b/>
                          <w:color w:val="FF0000"/>
                          <w:sz w:val="22"/>
                          <w:szCs w:val="20"/>
                        </w:rPr>
                      </w:pPr>
                      <w:r>
                        <w:rPr>
                          <w:rFonts w:ascii="Times New Roman" w:hAnsi="Times New Roman" w:cs="宋体" w:hint="eastAsia"/>
                          <w:b/>
                          <w:color w:val="FF0000"/>
                          <w:sz w:val="22"/>
                          <w:szCs w:val="20"/>
                          <w:lang w:bidi="ar"/>
                        </w:rPr>
                        <w:t>热电偶</w:t>
                      </w:r>
                    </w:p>
                  </w:txbxContent>
                </v:textbox>
              </v:shape>
            </w:pict>
          </mc:Fallback>
        </mc:AlternateContent>
      </w:r>
      <w:r>
        <w:rPr>
          <w:rFonts w:ascii="Times New Roman"/>
          <w:noProof/>
        </w:rPr>
        <mc:AlternateContent>
          <mc:Choice Requires="wps">
            <w:drawing>
              <wp:anchor distT="0" distB="0" distL="114300" distR="114300" simplePos="0" relativeHeight="251660288" behindDoc="0" locked="0" layoutInCell="1" allowOverlap="1" wp14:anchorId="16FC8017" wp14:editId="6FCABB7C">
                <wp:simplePos x="0" y="0"/>
                <wp:positionH relativeFrom="column">
                  <wp:posOffset>1958340</wp:posOffset>
                </wp:positionH>
                <wp:positionV relativeFrom="paragraph">
                  <wp:posOffset>552450</wp:posOffset>
                </wp:positionV>
                <wp:extent cx="848360" cy="345440"/>
                <wp:effectExtent l="0" t="0" r="0" b="0"/>
                <wp:wrapNone/>
                <wp:docPr id="8" name="文本框 2"/>
                <wp:cNvGraphicFramePr/>
                <a:graphic xmlns:a="http://schemas.openxmlformats.org/drawingml/2006/main">
                  <a:graphicData uri="http://schemas.microsoft.com/office/word/2010/wordprocessingShape">
                    <wps:wsp>
                      <wps:cNvSpPr txBox="1"/>
                      <wps:spPr>
                        <a:xfrm>
                          <a:off x="0" y="0"/>
                          <a:ext cx="848360" cy="345440"/>
                        </a:xfrm>
                        <a:prstGeom prst="rect">
                          <a:avLst/>
                        </a:prstGeom>
                        <a:noFill/>
                        <a:ln>
                          <a:noFill/>
                        </a:ln>
                      </wps:spPr>
                      <wps:txbx>
                        <w:txbxContent>
                          <w:p w14:paraId="592C5DA7" w14:textId="77777777" w:rsidR="006D0CDE" w:rsidRDefault="00000000">
                            <w:pPr>
                              <w:ind w:firstLineChars="83" w:firstLine="183"/>
                              <w:rPr>
                                <w:b/>
                                <w:color w:val="FF0000"/>
                                <w:sz w:val="22"/>
                                <w:szCs w:val="20"/>
                              </w:rPr>
                            </w:pPr>
                            <w:r>
                              <w:rPr>
                                <w:rFonts w:ascii="Times New Roman" w:hAnsi="Times New Roman" w:cs="宋体" w:hint="eastAsia"/>
                                <w:b/>
                                <w:color w:val="FF0000"/>
                                <w:sz w:val="22"/>
                                <w:szCs w:val="20"/>
                                <w:lang w:bidi="ar"/>
                              </w:rPr>
                              <w:t>热电偶</w:t>
                            </w:r>
                          </w:p>
                        </w:txbxContent>
                      </wps:txbx>
                      <wps:bodyPr>
                        <a:spAutoFit/>
                      </wps:bodyPr>
                    </wps:wsp>
                  </a:graphicData>
                </a:graphic>
                <wp14:sizeRelH relativeFrom="page">
                  <wp14:pctWidth>0</wp14:pctWidth>
                </wp14:sizeRelH>
                <wp14:sizeRelV relativeFrom="margin">
                  <wp14:pctHeight>20000</wp14:pctHeight>
                </wp14:sizeRelV>
              </wp:anchor>
            </w:drawing>
          </mc:Choice>
          <mc:Fallback>
            <w:pict>
              <v:shape w14:anchorId="16FC8017" id="_x0000_s1027" type="#_x0000_t202" style="position:absolute;left:0;text-align:left;margin-left:154.2pt;margin-top:43.5pt;width:66.8pt;height:27.2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" filled="f" stroked="f">
                <v:textbox style="mso-fit-shape-to-text:t">
                  <w:txbxContent>
                    <w:p w14:paraId="592C5DA7" w14:textId="77777777" w:rsidR="006D0CDE" w:rsidRDefault="00000000">
                      <w:pPr>
                        <w:ind w:firstLineChars="83" w:firstLine="183"/>
                        <w:rPr>
                          <w:b/>
                          <w:color w:val="FF0000"/>
                          <w:sz w:val="22"/>
                          <w:szCs w:val="20"/>
                        </w:rPr>
                      </w:pPr>
                      <w:r>
                        <w:rPr>
                          <w:rFonts w:ascii="Times New Roman" w:hAnsi="Times New Roman" w:cs="宋体" w:hint="eastAsia"/>
                          <w:b/>
                          <w:color w:val="FF0000"/>
                          <w:sz w:val="22"/>
                          <w:szCs w:val="20"/>
                          <w:lang w:bidi="ar"/>
                        </w:rPr>
                        <w:t>热电偶</w:t>
                      </w:r>
                    </w:p>
                  </w:txbxContent>
                </v:textbox>
              </v:shape>
            </w:pict>
          </mc:Fallback>
        </mc:AlternateContent>
      </w:r>
      <w:r>
        <w:rPr>
          <w:rFonts w:ascii="Times New Roman"/>
          <w:noProof/>
        </w:rPr>
        <mc:AlternateContent>
          <mc:Choice Requires="wps">
            <w:drawing>
              <wp:anchor distT="0" distB="0" distL="114300" distR="114300" simplePos="0" relativeHeight="251662336" behindDoc="0" locked="0" layoutInCell="1" allowOverlap="1" wp14:anchorId="4F8768AD" wp14:editId="18C78C97">
                <wp:simplePos x="0" y="0"/>
                <wp:positionH relativeFrom="column">
                  <wp:posOffset>2592705</wp:posOffset>
                </wp:positionH>
                <wp:positionV relativeFrom="paragraph">
                  <wp:posOffset>229870</wp:posOffset>
                </wp:positionV>
                <wp:extent cx="848360" cy="345440"/>
                <wp:effectExtent l="0" t="0" r="0" b="0"/>
                <wp:wrapNone/>
                <wp:docPr id="359129838" name="文本框 4"/>
                <wp:cNvGraphicFramePr/>
                <a:graphic xmlns:a="http://schemas.openxmlformats.org/drawingml/2006/main">
                  <a:graphicData uri="http://schemas.microsoft.com/office/word/2010/wordprocessingShape">
                    <wps:wsp>
                      <wps:cNvSpPr txBox="1"/>
                      <wps:spPr>
                        <a:xfrm>
                          <a:off x="0" y="0"/>
                          <a:ext cx="848360" cy="345440"/>
                        </a:xfrm>
                        <a:prstGeom prst="rect">
                          <a:avLst/>
                        </a:prstGeom>
                        <a:noFill/>
                        <a:ln>
                          <a:noFill/>
                        </a:ln>
                      </wps:spPr>
                      <wps:txbx>
                        <w:txbxContent>
                          <w:p w14:paraId="3F196C78" w14:textId="77777777" w:rsidR="006D0CDE" w:rsidRDefault="00000000">
                            <w:pPr>
                              <w:ind w:firstLineChars="83" w:firstLine="183"/>
                              <w:rPr>
                                <w:b/>
                                <w:color w:val="FF0000"/>
                                <w:sz w:val="22"/>
                                <w:szCs w:val="20"/>
                              </w:rPr>
                            </w:pPr>
                            <w:r>
                              <w:rPr>
                                <w:rFonts w:ascii="Times New Roman" w:hAnsi="Times New Roman" w:cs="宋体" w:hint="eastAsia"/>
                                <w:b/>
                                <w:color w:val="FF0000"/>
                                <w:sz w:val="22"/>
                                <w:szCs w:val="20"/>
                                <w:lang w:bidi="ar"/>
                              </w:rPr>
                              <w:t>样品</w:t>
                            </w:r>
                          </w:p>
                        </w:txbxContent>
                      </wps:txbx>
                      <wps:bodyPr>
                        <a:spAutoFit/>
                      </wps:bodyPr>
                    </wps:wsp>
                  </a:graphicData>
                </a:graphic>
                <wp14:sizeRelH relativeFrom="page">
                  <wp14:pctWidth>0</wp14:pctWidth>
                </wp14:sizeRelH>
                <wp14:sizeRelV relativeFrom="margin">
                  <wp14:pctHeight>20000</wp14:pctHeight>
                </wp14:sizeRelV>
              </wp:anchor>
            </w:drawing>
          </mc:Choice>
          <mc:Fallback>
            <w:pict>
              <v:shape w14:anchorId="4F8768AD" id="文本框 4" o:spid="_x0000_s1028" type="#_x0000_t202" style="position:absolute;left:0;text-align:left;margin-left:204.15pt;margin-top:18.1pt;width:66.8pt;height:27.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" filled="f" stroked="f">
                <v:textbox style="mso-fit-shape-to-text:t">
                  <w:txbxContent>
                    <w:p w14:paraId="3F196C78" w14:textId="77777777" w:rsidR="006D0CDE" w:rsidRDefault="00000000">
                      <w:pPr>
                        <w:ind w:firstLineChars="83" w:firstLine="183"/>
                        <w:rPr>
                          <w:b/>
                          <w:color w:val="FF0000"/>
                          <w:sz w:val="22"/>
                          <w:szCs w:val="20"/>
                        </w:rPr>
                      </w:pPr>
                      <w:r>
                        <w:rPr>
                          <w:rFonts w:ascii="Times New Roman" w:hAnsi="Times New Roman" w:cs="宋体" w:hint="eastAsia"/>
                          <w:b/>
                          <w:color w:val="FF0000"/>
                          <w:sz w:val="22"/>
                          <w:szCs w:val="20"/>
                          <w:lang w:bidi="ar"/>
                        </w:rPr>
                        <w:t>样品</w:t>
                      </w:r>
                    </w:p>
                  </w:txbxContent>
                </v:textbox>
              </v:shape>
            </w:pict>
          </mc:Fallback>
        </mc:AlternateContent>
      </w:r>
      <w:r>
        <w:rPr>
          <w:rFonts w:ascii="Times New Roman"/>
          <w:noProof/>
        </w:rPr>
        <w:drawing>
          <wp:inline distT="0" distB="0" distL="114300" distR="114300" wp14:anchorId="3A694B3B" wp14:editId="7477F01F">
            <wp:extent cx="2843530" cy="2074545"/>
            <wp:effectExtent l="0" t="0" r="4445" b="1905"/>
            <wp:docPr id="9" name="图片 13" descr="mode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 descr="model1.jpg"/>
                    <pic:cNvPicPr>
                      <a:picLocks noChangeAspect="1"/>
                    </pic:cNvPicPr>
                  </pic:nvPicPr>
                  <pic:blipFill>
                    <a:blip r:embed="rId18"/>
                    <a:srcRect l="2413" t="-249" r="2385"/>
                    <a:stretch>
                      <a:fillRect/>
                    </a:stretch>
                  </pic:blipFill>
                  <pic:spPr>
                    <a:xfrm>
                      <a:off x="0" y="0"/>
                      <a:ext cx="2843530" cy="2074545"/>
                    </a:xfrm>
                    <a:prstGeom prst="rect">
                      <a:avLst/>
                    </a:prstGeom>
                    <a:noFill/>
                    <a:ln>
                      <a:noFill/>
                    </a:ln>
                  </pic:spPr>
                </pic:pic>
              </a:graphicData>
            </a:graphic>
          </wp:inline>
        </w:drawing>
      </w:r>
    </w:p>
    <w:p w14:paraId="557F1F21" w14:textId="77777777" w:rsidR="006D0CDE" w:rsidRDefault="00000000">
      <w:pPr>
        <w:pStyle w:val="affffff1"/>
        <w:ind w:firstLineChars="0" w:firstLine="0"/>
        <w:jc w:val="center"/>
        <w:rPr>
          <w:rFonts w:ascii="Times New Roman"/>
        </w:rPr>
      </w:pPr>
      <w:r>
        <w:rPr>
          <w:rFonts w:ascii="Times New Roman"/>
        </w:rPr>
        <w:t>图</w:t>
      </w:r>
      <w:r>
        <w:rPr>
          <w:rFonts w:ascii="Times New Roman"/>
        </w:rPr>
        <w:t xml:space="preserve">3 </w:t>
      </w:r>
      <w:r>
        <w:rPr>
          <w:rFonts w:ascii="Times New Roman"/>
        </w:rPr>
        <w:t>校准红外热像仪和红外测温仪的示意图</w:t>
      </w:r>
    </w:p>
    <w:p w14:paraId="08DA24A3" w14:textId="77777777" w:rsidR="006D0CDE" w:rsidRDefault="00000000">
      <w:pPr>
        <w:pStyle w:val="affffff1"/>
        <w:ind w:firstLine="420"/>
        <w:rPr>
          <w:rFonts w:ascii="Times New Roman"/>
        </w:rPr>
      </w:pPr>
      <w:r>
        <w:rPr>
          <w:rFonts w:ascii="Times New Roman"/>
        </w:rPr>
        <w:t>采用</w:t>
      </w:r>
      <w:r>
        <w:rPr>
          <w:rFonts w:ascii="Times New Roman"/>
        </w:rPr>
        <w:t>K</w:t>
      </w:r>
      <w:r>
        <w:rPr>
          <w:rFonts w:ascii="Times New Roman"/>
        </w:rPr>
        <w:t>型铠装热电偶对红外测温设备进行室温</w:t>
      </w:r>
      <w:r>
        <w:rPr>
          <w:rFonts w:ascii="Times New Roman"/>
        </w:rPr>
        <w:t>-1200°C</w:t>
      </w:r>
      <w:r>
        <w:rPr>
          <w:rFonts w:ascii="Times New Roman"/>
        </w:rPr>
        <w:t>范围内</w:t>
      </w:r>
      <w:r>
        <w:rPr>
          <w:rFonts w:ascii="Times New Roman" w:hint="eastAsia"/>
        </w:rPr>
        <w:t>的</w:t>
      </w:r>
      <w:r>
        <w:rPr>
          <w:rFonts w:ascii="Times New Roman"/>
        </w:rPr>
        <w:t>温度标定，采用</w:t>
      </w:r>
      <w:r>
        <w:rPr>
          <w:rFonts w:ascii="Times New Roman" w:hint="eastAsia"/>
        </w:rPr>
        <w:t>铂铑或钨铼</w:t>
      </w:r>
      <w:r>
        <w:rPr>
          <w:rFonts w:ascii="Times New Roman"/>
        </w:rPr>
        <w:t>铠装热电偶对红外测温设备进行</w:t>
      </w:r>
      <w:r>
        <w:rPr>
          <w:rFonts w:ascii="Times New Roman"/>
        </w:rPr>
        <w:t>1200-2000°C</w:t>
      </w:r>
      <w:r>
        <w:rPr>
          <w:rFonts w:ascii="Times New Roman"/>
        </w:rPr>
        <w:t>范围内</w:t>
      </w:r>
      <w:r>
        <w:rPr>
          <w:rFonts w:ascii="Times New Roman" w:hint="eastAsia"/>
        </w:rPr>
        <w:t>的</w:t>
      </w:r>
      <w:r>
        <w:rPr>
          <w:rFonts w:ascii="Times New Roman"/>
        </w:rPr>
        <w:t>温度标定。采用双色红外测温仪对红外测温设备进行超</w:t>
      </w:r>
      <w:r>
        <w:rPr>
          <w:rFonts w:ascii="Times New Roman" w:hint="eastAsia"/>
        </w:rPr>
        <w:t>过</w:t>
      </w:r>
      <w:r>
        <w:rPr>
          <w:rFonts w:ascii="Times New Roman"/>
        </w:rPr>
        <w:t>2000°C</w:t>
      </w:r>
      <w:r>
        <w:rPr>
          <w:rFonts w:ascii="Times New Roman"/>
        </w:rPr>
        <w:t>的温度标定。</w:t>
      </w:r>
    </w:p>
    <w:p w14:paraId="33BC270E" w14:textId="77777777" w:rsidR="006D0CDE" w:rsidRDefault="00000000">
      <w:pPr>
        <w:pStyle w:val="affffff1"/>
        <w:ind w:firstLine="420"/>
        <w:rPr>
          <w:rFonts w:ascii="Times New Roman"/>
        </w:rPr>
      </w:pPr>
      <w:r>
        <w:rPr>
          <w:rFonts w:ascii="Times New Roman"/>
        </w:rPr>
        <w:t>红外诊断设备温度标定步骤如下：</w:t>
      </w:r>
    </w:p>
    <w:p w14:paraId="54331382" w14:textId="77777777" w:rsidR="006D0CDE" w:rsidRDefault="00000000">
      <w:pPr>
        <w:pStyle w:val="afb"/>
        <w:numPr>
          <w:ilvl w:val="0"/>
          <w:numId w:val="0"/>
        </w:numPr>
        <w:rPr>
          <w:rFonts w:ascii="Times New Roman"/>
        </w:rPr>
      </w:pPr>
      <w:r>
        <w:rPr>
          <w:rFonts w:ascii="Times New Roman"/>
        </w:rPr>
        <w:t>（</w:t>
      </w:r>
      <w:r>
        <w:rPr>
          <w:rFonts w:ascii="Times New Roman"/>
        </w:rPr>
        <w:t>1</w:t>
      </w:r>
      <w:r>
        <w:rPr>
          <w:rFonts w:ascii="Times New Roman"/>
        </w:rPr>
        <w:t>）电子束高热负荷设备开机，打开真空室。</w:t>
      </w:r>
    </w:p>
    <w:p w14:paraId="468050BF" w14:textId="77777777" w:rsidR="006D0CDE" w:rsidRDefault="00000000">
      <w:pPr>
        <w:pStyle w:val="afb"/>
        <w:numPr>
          <w:ilvl w:val="0"/>
          <w:numId w:val="0"/>
        </w:numPr>
        <w:rPr>
          <w:rFonts w:ascii="Times New Roman"/>
        </w:rPr>
      </w:pPr>
      <w:r>
        <w:rPr>
          <w:rFonts w:ascii="Times New Roman"/>
        </w:rPr>
        <w:t>（</w:t>
      </w:r>
      <w:r>
        <w:rPr>
          <w:rFonts w:ascii="Times New Roman"/>
        </w:rPr>
        <w:t>2</w:t>
      </w:r>
      <w:r>
        <w:rPr>
          <w:rFonts w:ascii="Times New Roman"/>
        </w:rPr>
        <w:t>）真空室中装入用于红外测温设备温度标定用的试样，在试样中插入至少</w:t>
      </w:r>
      <w:r>
        <w:rPr>
          <w:rFonts w:ascii="Times New Roman"/>
        </w:rPr>
        <w:t>2</w:t>
      </w:r>
      <w:r>
        <w:rPr>
          <w:rFonts w:ascii="Times New Roman"/>
        </w:rPr>
        <w:t>根测温用热电偶；将试样置于红外热像仪和红外测温仪的测温区域内。</w:t>
      </w:r>
    </w:p>
    <w:p w14:paraId="43A68627" w14:textId="77777777" w:rsidR="006D0CDE" w:rsidRDefault="00000000">
      <w:pPr>
        <w:pStyle w:val="afb"/>
        <w:numPr>
          <w:ilvl w:val="0"/>
          <w:numId w:val="0"/>
        </w:numPr>
        <w:rPr>
          <w:rFonts w:ascii="Times New Roman"/>
        </w:rPr>
      </w:pPr>
      <w:r>
        <w:rPr>
          <w:rFonts w:ascii="Times New Roman"/>
        </w:rPr>
        <w:t>（</w:t>
      </w:r>
      <w:r>
        <w:rPr>
          <w:rFonts w:ascii="Times New Roman"/>
        </w:rPr>
        <w:t>3</w:t>
      </w:r>
      <w:r>
        <w:rPr>
          <w:rFonts w:ascii="Times New Roman"/>
        </w:rPr>
        <w:t>）关闭真空室，抽真空；待至目标真空度，加载电子枪高压，采用低功率电子束加热试样，使样品达到热平衡；每隔</w:t>
      </w:r>
      <w:r>
        <w:rPr>
          <w:rFonts w:ascii="Times New Roman"/>
        </w:rPr>
        <w:t>50-100°C</w:t>
      </w:r>
      <w:r>
        <w:rPr>
          <w:rFonts w:ascii="Times New Roman"/>
        </w:rPr>
        <w:t>对样品进行加热。</w:t>
      </w:r>
    </w:p>
    <w:p w14:paraId="66756D0B" w14:textId="77777777" w:rsidR="006D0CDE" w:rsidRDefault="00000000">
      <w:pPr>
        <w:pStyle w:val="affffff1"/>
        <w:ind w:firstLineChars="0" w:firstLine="0"/>
        <w:rPr>
          <w:rFonts w:ascii="Times New Roman"/>
        </w:rPr>
      </w:pPr>
      <w:r>
        <w:rPr>
          <w:rFonts w:ascii="Times New Roman"/>
        </w:rPr>
        <w:t>（</w:t>
      </w:r>
      <w:r>
        <w:rPr>
          <w:rFonts w:ascii="Times New Roman"/>
        </w:rPr>
        <w:t>4</w:t>
      </w:r>
      <w:r>
        <w:rPr>
          <w:rFonts w:ascii="Times New Roman"/>
        </w:rPr>
        <w:t>）记录热电偶温度读数；调整红外热像仪和红外测温仪的红外发射系数，使其与热电偶温度一致。</w:t>
      </w:r>
    </w:p>
    <w:p w14:paraId="41E527E5" w14:textId="77777777" w:rsidR="006D0CDE" w:rsidRDefault="00000000">
      <w:pPr>
        <w:pStyle w:val="afff4"/>
        <w:spacing w:before="156" w:after="156"/>
        <w:rPr>
          <w:rFonts w:ascii="宋体" w:eastAsia="宋体" w:hAnsi="宋体" w:cs="宋体" w:hint="eastAsia"/>
          <w:b/>
          <w:bCs/>
        </w:rPr>
      </w:pPr>
      <w:r>
        <w:rPr>
          <w:rFonts w:ascii="宋体" w:eastAsia="宋体" w:hAnsi="宋体" w:cs="宋体" w:hint="eastAsia"/>
          <w:b/>
          <w:bCs/>
        </w:rPr>
        <w:t>安全</w:t>
      </w:r>
    </w:p>
    <w:p w14:paraId="0F38616C" w14:textId="77777777" w:rsidR="006D0CDE" w:rsidRDefault="00000000">
      <w:pPr>
        <w:spacing w:line="240" w:lineRule="auto"/>
        <w:ind w:firstLineChars="200" w:firstLine="420"/>
        <w:rPr>
          <w:rFonts w:ascii="Times New Roman" w:hAnsi="Times New Roman"/>
        </w:rPr>
      </w:pPr>
      <w:r>
        <w:rPr>
          <w:rFonts w:ascii="Times New Roman" w:hAnsi="Times New Roman"/>
        </w:rPr>
        <w:t>设备</w:t>
      </w:r>
      <w:r>
        <w:rPr>
          <w:rFonts w:ascii="Times New Roman" w:hAnsi="Times New Roman" w:hint="eastAsia"/>
        </w:rPr>
        <w:t>须</w:t>
      </w:r>
      <w:r>
        <w:rPr>
          <w:rFonts w:ascii="Times New Roman" w:hAnsi="Times New Roman"/>
        </w:rPr>
        <w:t>取得射线装置许可证，操作人员持有辐射安全和防护证书，配备有辐射监测仪器，有完善的辐射事故应急预案。其它安全防护依据</w:t>
      </w:r>
      <w:r>
        <w:rPr>
          <w:rFonts w:ascii="Times New Roman" w:hAnsi="Times New Roman"/>
        </w:rPr>
        <w:t>GB 5959.7</w:t>
      </w:r>
      <w:r>
        <w:rPr>
          <w:rFonts w:ascii="Times New Roman" w:hAnsi="Times New Roman"/>
        </w:rPr>
        <w:t>执行。</w:t>
      </w:r>
    </w:p>
    <w:p w14:paraId="00FE2EED" w14:textId="77777777" w:rsidR="006D0CDE" w:rsidRDefault="00000000">
      <w:pPr>
        <w:pStyle w:val="afff4"/>
        <w:spacing w:before="156" w:after="156"/>
        <w:rPr>
          <w:rFonts w:ascii="宋体" w:eastAsia="宋体" w:hAnsi="宋体" w:cs="宋体" w:hint="eastAsia"/>
          <w:b/>
          <w:bCs/>
        </w:rPr>
      </w:pPr>
      <w:r>
        <w:rPr>
          <w:rFonts w:ascii="宋体" w:eastAsia="宋体" w:hAnsi="宋体" w:cs="宋体" w:hint="eastAsia"/>
          <w:b/>
          <w:bCs/>
        </w:rPr>
        <w:t>人员资质</w:t>
      </w:r>
    </w:p>
    <w:p w14:paraId="325AE089" w14:textId="77777777" w:rsidR="006D0CDE" w:rsidRDefault="00000000">
      <w:pPr>
        <w:pStyle w:val="affffff1"/>
        <w:ind w:firstLine="420"/>
        <w:rPr>
          <w:color w:val="000000" w:themeColor="text1"/>
        </w:rPr>
      </w:pPr>
      <w:r>
        <w:rPr>
          <w:rFonts w:hint="eastAsia"/>
        </w:rPr>
        <w:t>从事电子束高热负荷测试的人员，须经上岗培训和安全培训，熟悉相关专业知识和安全规范方可上岗。操作人员需严格按照设备安全操作规程进行测试和记录。</w:t>
      </w:r>
      <w:r>
        <w:rPr>
          <w:rFonts w:hint="eastAsia"/>
          <w:color w:val="000000" w:themeColor="text1"/>
        </w:rPr>
        <w:t>从事本工作2年以上人员可以对检测结果进行评定，并签发报告。</w:t>
      </w:r>
    </w:p>
    <w:p w14:paraId="6364C894" w14:textId="77777777" w:rsidR="006D0CDE" w:rsidRDefault="006D0CDE">
      <w:pPr>
        <w:pStyle w:val="affffff1"/>
        <w:ind w:firstLine="420"/>
        <w:rPr>
          <w:color w:val="000000" w:themeColor="text1"/>
        </w:rPr>
      </w:pPr>
    </w:p>
    <w:p w14:paraId="2C6FAED2" w14:textId="77777777" w:rsidR="006D0CDE" w:rsidRDefault="00000000">
      <w:pPr>
        <w:pStyle w:val="afff4"/>
        <w:spacing w:before="156" w:after="156"/>
        <w:rPr>
          <w:rFonts w:ascii="宋体" w:eastAsia="宋体" w:hAnsi="宋体" w:cs="宋体" w:hint="eastAsia"/>
          <w:b/>
          <w:bCs/>
        </w:rPr>
      </w:pPr>
      <w:r>
        <w:rPr>
          <w:rFonts w:ascii="宋体" w:eastAsia="宋体" w:hAnsi="宋体" w:cs="宋体" w:hint="eastAsia"/>
          <w:b/>
          <w:bCs/>
        </w:rPr>
        <w:t>测试环境</w:t>
      </w:r>
    </w:p>
    <w:p w14:paraId="53927060" w14:textId="77777777" w:rsidR="006D0CDE" w:rsidRDefault="00000000">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测试设备须取得射线装置许可证。</w:t>
      </w:r>
      <w:r>
        <w:rPr>
          <w:rFonts w:ascii="Times New Roman" w:hAnsi="Times New Roman" w:hint="eastAsia"/>
          <w:kern w:val="0"/>
          <w:szCs w:val="20"/>
        </w:rPr>
        <w:t xml:space="preserve"> </w:t>
      </w:r>
    </w:p>
    <w:p w14:paraId="33EDF4A8" w14:textId="77777777" w:rsidR="006D0CDE" w:rsidRDefault="00000000">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配备有辐射监测仪器、个人计量仪，有完善的辐射事故应急预案。</w:t>
      </w:r>
    </w:p>
    <w:p w14:paraId="4ACFAC72" w14:textId="77777777" w:rsidR="006D0CDE" w:rsidRDefault="00000000">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lastRenderedPageBreak/>
        <w:t>测试环境要求如下：常温，常压，空气相对湿度≤</w:t>
      </w:r>
      <w:r>
        <w:rPr>
          <w:rFonts w:ascii="Times New Roman" w:hAnsi="Times New Roman" w:hint="eastAsia"/>
          <w:kern w:val="0"/>
          <w:szCs w:val="20"/>
        </w:rPr>
        <w:t>70%</w:t>
      </w:r>
      <w:r>
        <w:rPr>
          <w:rFonts w:ascii="Times New Roman" w:hAnsi="Times New Roman" w:hint="eastAsia"/>
          <w:kern w:val="0"/>
          <w:szCs w:val="20"/>
        </w:rPr>
        <w:t>；无强电磁场干扰电子束；无震动、噪声和灰尘污染</w:t>
      </w:r>
      <w:r>
        <w:rPr>
          <w:rFonts w:ascii="Times New Roman" w:hAnsi="Times New Roman"/>
          <w:kern w:val="0"/>
          <w:szCs w:val="20"/>
        </w:rPr>
        <w:t>。</w:t>
      </w:r>
    </w:p>
    <w:p w14:paraId="1C175BF8" w14:textId="77777777" w:rsidR="006D0CDE" w:rsidRDefault="00000000">
      <w:pPr>
        <w:pStyle w:val="afff3"/>
        <w:spacing w:before="312" w:after="312"/>
      </w:pPr>
      <w:bookmarkStart w:id="43" w:name="_Toc190356788"/>
      <w:r>
        <w:t>测试</w:t>
      </w:r>
      <w:r>
        <w:rPr>
          <w:rFonts w:hint="eastAsia"/>
        </w:rPr>
        <w:t>材料要求</w:t>
      </w:r>
      <w:bookmarkEnd w:id="43"/>
    </w:p>
    <w:p w14:paraId="473008AB" w14:textId="77777777" w:rsidR="006D0CDE" w:rsidRDefault="00000000">
      <w:pPr>
        <w:pStyle w:val="afff4"/>
        <w:spacing w:before="156" w:after="156"/>
        <w:rPr>
          <w:rFonts w:ascii="宋体" w:eastAsia="宋体" w:hAnsi="宋体" w:cs="宋体" w:hint="eastAsia"/>
          <w:b/>
          <w:bCs/>
        </w:rPr>
      </w:pPr>
      <w:r>
        <w:rPr>
          <w:rFonts w:ascii="宋体" w:eastAsia="宋体" w:hAnsi="宋体" w:cs="宋体" w:hint="eastAsia"/>
          <w:b/>
          <w:bCs/>
        </w:rPr>
        <w:t>取样要求</w:t>
      </w:r>
    </w:p>
    <w:p w14:paraId="18C95E37" w14:textId="77777777" w:rsidR="006D0CDE" w:rsidRDefault="00000000">
      <w:pPr>
        <w:pStyle w:val="affffff1"/>
        <w:ind w:firstLine="420"/>
      </w:pPr>
      <w:r>
        <w:rPr>
          <w:rFonts w:ascii="Times New Roman" w:hint="eastAsia"/>
        </w:rPr>
        <w:t>所有测试样品取样时需标明材料状态及变形方向。</w:t>
      </w:r>
    </w:p>
    <w:p w14:paraId="00303282" w14:textId="77777777" w:rsidR="006D0CDE" w:rsidRDefault="00000000">
      <w:pPr>
        <w:pStyle w:val="afff4"/>
        <w:spacing w:before="156" w:after="156"/>
        <w:rPr>
          <w:rFonts w:ascii="宋体" w:eastAsia="宋体" w:hAnsi="宋体" w:cs="宋体" w:hint="eastAsia"/>
          <w:b/>
          <w:bCs/>
        </w:rPr>
      </w:pPr>
      <w:r>
        <w:rPr>
          <w:rFonts w:ascii="宋体" w:eastAsia="宋体" w:hAnsi="宋体" w:cs="宋体" w:hint="eastAsia"/>
          <w:b/>
          <w:bCs/>
        </w:rPr>
        <w:t>测试要求</w:t>
      </w:r>
    </w:p>
    <w:p w14:paraId="540E667D" w14:textId="77777777" w:rsidR="006D0CDE" w:rsidRDefault="00000000">
      <w:pPr>
        <w:pStyle w:val="affffff1"/>
        <w:ind w:firstLine="420"/>
        <w:rPr>
          <w:rFonts w:ascii="Times New Roman"/>
        </w:rPr>
      </w:pPr>
      <w:r>
        <w:rPr>
          <w:rFonts w:ascii="Times New Roman" w:hint="eastAsia"/>
        </w:rPr>
        <w:t>瞬态高热负荷：一般用于材料测试，测试样品尺寸须大于热加载面积，厚度建议大于</w:t>
      </w:r>
      <w:r>
        <w:rPr>
          <w:rFonts w:ascii="Times New Roman"/>
        </w:rPr>
        <w:t>2</w:t>
      </w:r>
      <w:r>
        <w:rPr>
          <w:rFonts w:ascii="Times New Roman" w:hint="eastAsia"/>
        </w:rPr>
        <w:t>mm</w:t>
      </w:r>
      <w:r>
        <w:rPr>
          <w:rFonts w:ascii="Times New Roman" w:hint="eastAsia"/>
        </w:rPr>
        <w:t>。材料应使用</w:t>
      </w:r>
      <w:r>
        <w:rPr>
          <w:rFonts w:ascii="Times New Roman" w:hint="eastAsia"/>
        </w:rPr>
        <w:t>240-1200</w:t>
      </w:r>
      <w:r>
        <w:rPr>
          <w:rFonts w:ascii="Times New Roman" w:hint="eastAsia"/>
        </w:rPr>
        <w:t>号砂纸进行表面的机械磨光处理，再用金刚砂抛光膏进行机械抛光，制备成为无宏观缺陷的样品。</w:t>
      </w:r>
    </w:p>
    <w:p w14:paraId="477EAB45" w14:textId="77777777" w:rsidR="006D0CDE" w:rsidRDefault="00000000">
      <w:pPr>
        <w:pStyle w:val="affffff1"/>
        <w:ind w:firstLine="420"/>
        <w:rPr>
          <w:rFonts w:ascii="Times New Roman"/>
        </w:rPr>
      </w:pPr>
      <w:r>
        <w:rPr>
          <w:rFonts w:ascii="Times New Roman" w:hint="eastAsia"/>
        </w:rPr>
        <w:t>稳态高热负荷：一般用于模块测试，测试前模块须去除表面油污及氧化层，建议使用</w:t>
      </w:r>
      <w:r>
        <w:rPr>
          <w:rFonts w:ascii="Times New Roman"/>
        </w:rPr>
        <w:t>1200</w:t>
      </w:r>
      <w:r>
        <w:rPr>
          <w:rFonts w:ascii="Times New Roman" w:hint="eastAsia"/>
        </w:rPr>
        <w:t>目砂纸打磨处理。</w:t>
      </w:r>
    </w:p>
    <w:p w14:paraId="617D4078" w14:textId="77777777" w:rsidR="006D0CDE" w:rsidRDefault="00000000">
      <w:pPr>
        <w:widowControl/>
        <w:autoSpaceDE w:val="0"/>
        <w:autoSpaceDN w:val="0"/>
        <w:adjustRightInd/>
        <w:spacing w:line="240" w:lineRule="auto"/>
        <w:ind w:firstLineChars="200" w:firstLine="420"/>
        <w:rPr>
          <w:rFonts w:ascii="Times New Roman" w:hAnsi="Times New Roman"/>
          <w:color w:val="FF0000"/>
          <w:kern w:val="0"/>
          <w:szCs w:val="20"/>
        </w:rPr>
      </w:pPr>
      <w:r>
        <w:rPr>
          <w:rFonts w:ascii="Times New Roman" w:hint="eastAsia"/>
        </w:rPr>
        <w:t>协同高热负荷：一般用于模块测试，测试前模块须去除表面油污及氧化层，建议使用</w:t>
      </w:r>
      <w:r>
        <w:rPr>
          <w:rFonts w:ascii="Times New Roman"/>
        </w:rPr>
        <w:t>1200</w:t>
      </w:r>
      <w:r>
        <w:rPr>
          <w:rFonts w:ascii="Times New Roman" w:hint="eastAsia"/>
        </w:rPr>
        <w:t>目砂纸打磨处理。</w:t>
      </w:r>
    </w:p>
    <w:p w14:paraId="1D1F2399" w14:textId="77777777" w:rsidR="006D0CDE" w:rsidRDefault="00000000">
      <w:pPr>
        <w:pStyle w:val="afff3"/>
        <w:spacing w:before="312" w:after="312"/>
        <w:rPr>
          <w:rFonts w:hAnsi="黑体" w:cs="黑体" w:hint="eastAsia"/>
        </w:rPr>
      </w:pPr>
      <w:bookmarkStart w:id="44" w:name="_Toc190356789"/>
      <w:r>
        <w:rPr>
          <w:rFonts w:hAnsi="黑体" w:cs="黑体" w:hint="eastAsia"/>
        </w:rPr>
        <w:t>高热负荷测试分类</w:t>
      </w:r>
      <w:bookmarkEnd w:id="44"/>
    </w:p>
    <w:p w14:paraId="4EA55C8E" w14:textId="77777777" w:rsidR="006D0CDE" w:rsidRDefault="00000000">
      <w:pPr>
        <w:pStyle w:val="afff4"/>
        <w:spacing w:before="156" w:after="156"/>
      </w:pPr>
      <w:r>
        <w:rPr>
          <w:rFonts w:ascii="Times New Roman" w:eastAsia="宋体" w:hint="eastAsia"/>
          <w:b/>
          <w:bCs/>
        </w:rPr>
        <w:t>瞬态高热负荷</w:t>
      </w:r>
      <w:r>
        <w:rPr>
          <w:rFonts w:ascii="Times New Roman" w:eastAsia="宋体"/>
          <w:b/>
          <w:bCs/>
        </w:rPr>
        <w:t>实验</w:t>
      </w:r>
    </w:p>
    <w:p w14:paraId="38DC815D" w14:textId="77777777" w:rsidR="006D0CDE" w:rsidRDefault="00000000">
      <w:pPr>
        <w:pStyle w:val="affffff1"/>
        <w:ind w:firstLine="420"/>
        <w:rPr>
          <w:rFonts w:ascii="Times New Roman"/>
        </w:rPr>
      </w:pPr>
      <w:r>
        <w:rPr>
          <w:rFonts w:ascii="Times New Roman" w:hint="eastAsia"/>
        </w:rPr>
        <w:t>瞬态高热负荷</w:t>
      </w:r>
      <w:r>
        <w:rPr>
          <w:rFonts w:ascii="Times New Roman"/>
        </w:rPr>
        <w:t>实验主要分为模拟边缘局域模</w:t>
      </w:r>
      <w:r>
        <w:rPr>
          <w:rFonts w:ascii="Times New Roman" w:hint="eastAsia"/>
        </w:rPr>
        <w:t>、</w:t>
      </w:r>
      <w:r>
        <w:rPr>
          <w:rFonts w:ascii="Times New Roman"/>
        </w:rPr>
        <w:t>等离子体破裂</w:t>
      </w:r>
      <w:r>
        <w:rPr>
          <w:rFonts w:ascii="Times New Roman" w:hint="eastAsia"/>
        </w:rPr>
        <w:t>和垂直位移事件三</w:t>
      </w:r>
      <w:r>
        <w:rPr>
          <w:rFonts w:ascii="Times New Roman"/>
        </w:rPr>
        <w:t>类。</w:t>
      </w:r>
      <w:r>
        <w:rPr>
          <w:rFonts w:ascii="Times New Roman" w:hint="eastAsia"/>
        </w:rPr>
        <w:t>这三类事件均会在极短的时间内在材料表面沉积大量的热，导致材料表面发生不同的损伤。因此瞬态高热负荷</w:t>
      </w:r>
      <w:r>
        <w:rPr>
          <w:rFonts w:ascii="Times New Roman"/>
        </w:rPr>
        <w:t>实验</w:t>
      </w:r>
      <w:r>
        <w:rPr>
          <w:rFonts w:ascii="Times New Roman" w:hint="eastAsia"/>
        </w:rPr>
        <w:t>主要根据这三类事件的持续时间对相关材料进行测试。</w:t>
      </w:r>
    </w:p>
    <w:p w14:paraId="7E5B9516" w14:textId="77777777" w:rsidR="006D0CDE" w:rsidRDefault="00000000">
      <w:pPr>
        <w:pStyle w:val="affffff1"/>
        <w:ind w:firstLineChars="0" w:firstLine="0"/>
        <w:rPr>
          <w:rFonts w:ascii="Times New Roman"/>
        </w:rPr>
      </w:pPr>
      <w:r>
        <w:rPr>
          <w:rFonts w:ascii="Times New Roman" w:hint="eastAsia"/>
        </w:rPr>
        <w:t>（</w:t>
      </w:r>
      <w:r>
        <w:rPr>
          <w:rFonts w:ascii="Times New Roman" w:hint="eastAsia"/>
        </w:rPr>
        <w:t>1</w:t>
      </w:r>
      <w:r>
        <w:rPr>
          <w:rFonts w:ascii="Times New Roman" w:hint="eastAsia"/>
        </w:rPr>
        <w:t>）</w:t>
      </w:r>
      <w:r>
        <w:rPr>
          <w:rFonts w:ascii="Times New Roman"/>
        </w:rPr>
        <w:t>模拟边缘局域模的</w:t>
      </w:r>
      <w:r>
        <w:rPr>
          <w:rFonts w:ascii="Times New Roman" w:hint="eastAsia"/>
        </w:rPr>
        <w:t>瞬态高热负荷</w:t>
      </w:r>
      <w:r>
        <w:rPr>
          <w:rFonts w:ascii="Times New Roman"/>
        </w:rPr>
        <w:t>实验单次持续时间</w:t>
      </w:r>
      <w:r>
        <w:rPr>
          <w:rFonts w:ascii="Times New Roman" w:hint="eastAsia"/>
        </w:rPr>
        <w:t>不超过</w:t>
      </w:r>
      <w:r>
        <w:rPr>
          <w:rFonts w:ascii="Times New Roman"/>
        </w:rPr>
        <w:t>1ms</w:t>
      </w:r>
      <w:r>
        <w:rPr>
          <w:rFonts w:ascii="Times New Roman" w:hint="eastAsia"/>
        </w:rPr>
        <w:t>；基体温度为室温</w:t>
      </w:r>
      <w:r>
        <w:rPr>
          <w:rFonts w:ascii="Times New Roman" w:hint="eastAsia"/>
        </w:rPr>
        <w:t>-1000</w:t>
      </w:r>
      <w:r>
        <w:rPr>
          <w:rFonts w:ascii="Times New Roman" w:hint="eastAsia"/>
        </w:rPr>
        <w:t>℃，其中升温实验可通过加热炉等对测试样品进行升温；</w:t>
      </w:r>
      <w:r>
        <w:rPr>
          <w:rFonts w:ascii="Times New Roman"/>
        </w:rPr>
        <w:t>脉冲循环次数</w:t>
      </w:r>
      <w:r>
        <w:rPr>
          <w:rFonts w:ascii="Times New Roman" w:hint="eastAsia"/>
        </w:rPr>
        <w:t>不低于</w:t>
      </w:r>
      <w:r>
        <w:rPr>
          <w:rFonts w:ascii="Times New Roman"/>
        </w:rPr>
        <w:t>100</w:t>
      </w:r>
      <w:r>
        <w:rPr>
          <w:rFonts w:ascii="Times New Roman"/>
        </w:rPr>
        <w:t>次，间隔时间</w:t>
      </w:r>
      <w:r>
        <w:rPr>
          <w:rFonts w:ascii="Times New Roman" w:hint="eastAsia"/>
        </w:rPr>
        <w:t>需</w:t>
      </w:r>
      <w:r>
        <w:rPr>
          <w:rFonts w:ascii="Times New Roman"/>
        </w:rPr>
        <w:t>确保基体温度恒定</w:t>
      </w:r>
      <w:r>
        <w:rPr>
          <w:rFonts w:ascii="Times New Roman" w:hint="eastAsia"/>
        </w:rPr>
        <w:t>（建议大于</w:t>
      </w:r>
      <w:r>
        <w:rPr>
          <w:rFonts w:ascii="Times New Roman" w:hint="eastAsia"/>
        </w:rPr>
        <w:t>3s</w:t>
      </w:r>
      <w:r>
        <w:rPr>
          <w:rFonts w:ascii="Times New Roman" w:hint="eastAsia"/>
        </w:rPr>
        <w:t>），吸收功率密度不低于</w:t>
      </w:r>
      <w:r>
        <w:rPr>
          <w:rFonts w:ascii="Times New Roman" w:hint="eastAsia"/>
        </w:rPr>
        <w:t>1</w:t>
      </w:r>
      <w:r>
        <w:rPr>
          <w:rFonts w:ascii="Times New Roman"/>
        </w:rPr>
        <w:t>00</w:t>
      </w:r>
      <w:r>
        <w:rPr>
          <w:rFonts w:ascii="Times New Roman" w:hint="eastAsia"/>
        </w:rPr>
        <w:t>MW</w:t>
      </w:r>
      <w:r>
        <w:rPr>
          <w:rFonts w:ascii="Times New Roman"/>
        </w:rPr>
        <w:t>/m</w:t>
      </w:r>
      <w:r>
        <w:rPr>
          <w:rFonts w:ascii="Times New Roman"/>
          <w:vertAlign w:val="superscript"/>
        </w:rPr>
        <w:t>2</w:t>
      </w:r>
      <w:r>
        <w:rPr>
          <w:rFonts w:ascii="Times New Roman"/>
        </w:rPr>
        <w:t>。</w:t>
      </w:r>
    </w:p>
    <w:p w14:paraId="1A737810" w14:textId="77777777" w:rsidR="006D0CDE" w:rsidRDefault="00000000">
      <w:pPr>
        <w:pStyle w:val="affffff1"/>
        <w:ind w:firstLineChars="0" w:firstLine="0"/>
        <w:rPr>
          <w:rFonts w:ascii="Times New Roman"/>
        </w:rPr>
      </w:pPr>
      <w:r>
        <w:rPr>
          <w:rFonts w:ascii="Times New Roman" w:hint="eastAsia"/>
        </w:rPr>
        <w:t>（</w:t>
      </w:r>
      <w:r>
        <w:rPr>
          <w:rFonts w:ascii="Times New Roman" w:hint="eastAsia"/>
        </w:rPr>
        <w:t>2</w:t>
      </w:r>
      <w:r>
        <w:rPr>
          <w:rFonts w:ascii="Times New Roman" w:hint="eastAsia"/>
        </w:rPr>
        <w:t>）</w:t>
      </w:r>
      <w:r>
        <w:rPr>
          <w:rFonts w:ascii="Times New Roman"/>
        </w:rPr>
        <w:t>模拟等离子体破裂的</w:t>
      </w:r>
      <w:r>
        <w:rPr>
          <w:rFonts w:ascii="Times New Roman" w:hint="eastAsia"/>
        </w:rPr>
        <w:t>瞬态高热负荷</w:t>
      </w:r>
      <w:r>
        <w:rPr>
          <w:rFonts w:ascii="Times New Roman"/>
        </w:rPr>
        <w:t>实验持续时间</w:t>
      </w:r>
      <w:r>
        <w:rPr>
          <w:rFonts w:ascii="Times New Roman" w:hint="eastAsia"/>
        </w:rPr>
        <w:t>约为</w:t>
      </w:r>
      <w:r>
        <w:rPr>
          <w:rFonts w:ascii="Times New Roman" w:hint="eastAsia"/>
        </w:rPr>
        <w:t>2</w:t>
      </w:r>
      <w:r>
        <w:rPr>
          <w:rFonts w:ascii="Times New Roman"/>
        </w:rPr>
        <w:t>~5ms</w:t>
      </w:r>
      <w:r>
        <w:rPr>
          <w:rFonts w:ascii="Times New Roman"/>
        </w:rPr>
        <w:t>；</w:t>
      </w:r>
      <w:r>
        <w:rPr>
          <w:rFonts w:ascii="Times New Roman" w:hint="eastAsia"/>
        </w:rPr>
        <w:t>基体温度为室温</w:t>
      </w:r>
      <w:r>
        <w:rPr>
          <w:rFonts w:ascii="Times New Roman" w:hint="eastAsia"/>
        </w:rPr>
        <w:t>-1000</w:t>
      </w:r>
      <w:r>
        <w:rPr>
          <w:rFonts w:ascii="Times New Roman" w:hint="eastAsia"/>
        </w:rPr>
        <w:t>℃，可通过加热炉对测试样品进行升温；</w:t>
      </w:r>
      <w:r>
        <w:rPr>
          <w:rFonts w:ascii="Times New Roman"/>
        </w:rPr>
        <w:t>脉冲循环次数</w:t>
      </w:r>
      <w:r>
        <w:rPr>
          <w:rFonts w:ascii="Times New Roman"/>
        </w:rPr>
        <w:t>1-100</w:t>
      </w:r>
      <w:r>
        <w:rPr>
          <w:rFonts w:ascii="Times New Roman"/>
        </w:rPr>
        <w:t>次，间隔时间大于</w:t>
      </w:r>
      <w:r>
        <w:rPr>
          <w:rFonts w:ascii="Times New Roman"/>
        </w:rPr>
        <w:t>3s,</w:t>
      </w:r>
      <w:r>
        <w:rPr>
          <w:rFonts w:ascii="Times New Roman" w:hint="eastAsia"/>
        </w:rPr>
        <w:t xml:space="preserve"> </w:t>
      </w:r>
      <w:r>
        <w:rPr>
          <w:rFonts w:ascii="Times New Roman" w:hint="eastAsia"/>
        </w:rPr>
        <w:t>吸收能量密度不低于</w:t>
      </w:r>
      <w:r>
        <w:rPr>
          <w:rFonts w:ascii="Times New Roman" w:hint="eastAsia"/>
        </w:rPr>
        <w:t>1MJ</w:t>
      </w:r>
      <w:r>
        <w:rPr>
          <w:rFonts w:ascii="Times New Roman"/>
        </w:rPr>
        <w:t>/m</w:t>
      </w:r>
      <w:r>
        <w:rPr>
          <w:rFonts w:ascii="Times New Roman"/>
          <w:vertAlign w:val="superscript"/>
        </w:rPr>
        <w:t>2</w:t>
      </w:r>
      <w:r>
        <w:rPr>
          <w:rFonts w:ascii="Times New Roman"/>
        </w:rPr>
        <w:t>。</w:t>
      </w:r>
    </w:p>
    <w:p w14:paraId="5AD1B615" w14:textId="77777777" w:rsidR="006D0CDE" w:rsidRDefault="00000000">
      <w:pPr>
        <w:pStyle w:val="affffff1"/>
        <w:ind w:firstLineChars="0" w:firstLine="0"/>
        <w:rPr>
          <w:rFonts w:ascii="Times New Roman"/>
        </w:rPr>
      </w:pPr>
      <w:r>
        <w:rPr>
          <w:rFonts w:ascii="Times New Roman" w:hint="eastAsia"/>
        </w:rPr>
        <w:t>（</w:t>
      </w:r>
      <w:r>
        <w:rPr>
          <w:rFonts w:ascii="Times New Roman" w:hint="eastAsia"/>
        </w:rPr>
        <w:t>3</w:t>
      </w:r>
      <w:r>
        <w:rPr>
          <w:rFonts w:ascii="Times New Roman" w:hint="eastAsia"/>
        </w:rPr>
        <w:t>）</w:t>
      </w:r>
      <w:r>
        <w:rPr>
          <w:rFonts w:ascii="Times New Roman"/>
        </w:rPr>
        <w:t>模拟</w:t>
      </w:r>
      <w:r>
        <w:rPr>
          <w:rFonts w:ascii="Times New Roman" w:hint="eastAsia"/>
        </w:rPr>
        <w:t>垂直位移事件</w:t>
      </w:r>
      <w:r>
        <w:rPr>
          <w:rFonts w:ascii="Times New Roman"/>
        </w:rPr>
        <w:t>的</w:t>
      </w:r>
      <w:r>
        <w:rPr>
          <w:rFonts w:ascii="Times New Roman" w:hint="eastAsia"/>
        </w:rPr>
        <w:t>瞬态高热负荷</w:t>
      </w:r>
      <w:r>
        <w:rPr>
          <w:rFonts w:ascii="Times New Roman"/>
        </w:rPr>
        <w:t>实验持续时间</w:t>
      </w:r>
      <w:r>
        <w:rPr>
          <w:rFonts w:ascii="Times New Roman" w:hint="eastAsia"/>
        </w:rPr>
        <w:t>约为</w:t>
      </w:r>
      <w:r>
        <w:rPr>
          <w:rFonts w:ascii="Times New Roman"/>
        </w:rPr>
        <w:t>100~300ms</w:t>
      </w:r>
      <w:r>
        <w:rPr>
          <w:rFonts w:ascii="Times New Roman"/>
        </w:rPr>
        <w:t>；脉冲循环次数</w:t>
      </w:r>
      <w:r>
        <w:rPr>
          <w:rFonts w:ascii="Times New Roman" w:hint="eastAsia"/>
        </w:rPr>
        <w:t>为</w:t>
      </w:r>
      <w:r>
        <w:rPr>
          <w:rFonts w:ascii="Times New Roman" w:hint="eastAsia"/>
        </w:rPr>
        <w:t>1</w:t>
      </w:r>
      <w:r>
        <w:rPr>
          <w:rFonts w:ascii="Times New Roman"/>
        </w:rPr>
        <w:t>次</w:t>
      </w:r>
      <w:r>
        <w:rPr>
          <w:rFonts w:ascii="Times New Roman" w:hint="eastAsia"/>
        </w:rPr>
        <w:t>，吸收能量密度不低于</w:t>
      </w:r>
      <w:r>
        <w:rPr>
          <w:rFonts w:ascii="Times New Roman" w:hint="eastAsia"/>
        </w:rPr>
        <w:t>10MJ</w:t>
      </w:r>
      <w:r>
        <w:rPr>
          <w:rFonts w:ascii="Times New Roman"/>
        </w:rPr>
        <w:t>/m</w:t>
      </w:r>
      <w:r>
        <w:rPr>
          <w:rFonts w:ascii="Times New Roman"/>
          <w:vertAlign w:val="superscript"/>
        </w:rPr>
        <w:t>2</w:t>
      </w:r>
      <w:r>
        <w:rPr>
          <w:rFonts w:ascii="Times New Roman"/>
        </w:rPr>
        <w:t>。</w:t>
      </w:r>
      <w:r>
        <w:rPr>
          <w:rFonts w:ascii="Times New Roman" w:hint="eastAsia"/>
        </w:rPr>
        <w:t>推荐采用水冷模块进行测试。</w:t>
      </w:r>
    </w:p>
    <w:p w14:paraId="3A432D47" w14:textId="77777777" w:rsidR="006D0CDE" w:rsidRDefault="00000000">
      <w:pPr>
        <w:pStyle w:val="affffff1"/>
        <w:ind w:firstLine="420"/>
        <w:rPr>
          <w:rFonts w:ascii="Times New Roman"/>
        </w:rPr>
      </w:pPr>
      <w:r>
        <w:rPr>
          <w:rFonts w:ascii="Times New Roman" w:hint="eastAsia"/>
        </w:rPr>
        <w:t>测试</w:t>
      </w:r>
      <w:r>
        <w:rPr>
          <w:rFonts w:ascii="Times New Roman"/>
        </w:rPr>
        <w:t>样品尺寸</w:t>
      </w:r>
      <w:r>
        <w:rPr>
          <w:rFonts w:ascii="Times New Roman" w:hint="eastAsia"/>
        </w:rPr>
        <w:t>（推荐为方形）</w:t>
      </w:r>
      <w:r>
        <w:rPr>
          <w:rFonts w:ascii="Times New Roman"/>
        </w:rPr>
        <w:t>为</w:t>
      </w:r>
      <w:r>
        <w:rPr>
          <w:rFonts w:ascii="Times New Roman" w:hint="eastAsia"/>
        </w:rPr>
        <w:t>(1</w:t>
      </w:r>
      <w:r>
        <w:rPr>
          <w:rFonts w:ascii="Times New Roman"/>
        </w:rPr>
        <w:t>0~15</w:t>
      </w:r>
      <w:r>
        <w:rPr>
          <w:rFonts w:ascii="Times New Roman" w:hint="eastAsia"/>
        </w:rPr>
        <w:t xml:space="preserve">)mm </w:t>
      </w:r>
      <w:r>
        <w:rPr>
          <w:rFonts w:ascii="Times New Roman"/>
        </w:rPr>
        <w:t>×</w:t>
      </w:r>
      <w:r>
        <w:rPr>
          <w:rFonts w:ascii="Times New Roman" w:hint="eastAsia"/>
        </w:rPr>
        <w:t xml:space="preserve"> (1</w:t>
      </w:r>
      <w:r>
        <w:rPr>
          <w:rFonts w:ascii="Times New Roman"/>
        </w:rPr>
        <w:t>0~20</w:t>
      </w:r>
      <w:r>
        <w:rPr>
          <w:rFonts w:ascii="Times New Roman" w:hint="eastAsia"/>
        </w:rPr>
        <w:t>)mm</w:t>
      </w:r>
      <w:r>
        <w:rPr>
          <w:rFonts w:ascii="Times New Roman"/>
        </w:rPr>
        <w:t>，厚度不低于</w:t>
      </w:r>
      <w:r>
        <w:rPr>
          <w:rFonts w:ascii="Times New Roman"/>
        </w:rPr>
        <w:t>2mm</w:t>
      </w:r>
      <w:r>
        <w:rPr>
          <w:rFonts w:ascii="Times New Roman"/>
        </w:rPr>
        <w:t>；电子束辐照区域</w:t>
      </w:r>
      <w:r>
        <w:rPr>
          <w:rFonts w:ascii="Times New Roman" w:hint="eastAsia"/>
        </w:rPr>
        <w:t>根据瞬态高热负荷的功率密度和电子枪功率进行计算，辐照面积一般不小</w:t>
      </w:r>
      <w:r>
        <w:rPr>
          <w:rFonts w:ascii="Times New Roman"/>
        </w:rPr>
        <w:t>于</w:t>
      </w:r>
      <w:r>
        <w:rPr>
          <w:rFonts w:ascii="Times New Roman"/>
        </w:rPr>
        <w:t>3</w:t>
      </w:r>
      <w:r>
        <w:rPr>
          <w:rFonts w:ascii="Times New Roman" w:hint="eastAsia"/>
        </w:rPr>
        <w:t xml:space="preserve">mm </w:t>
      </w:r>
      <w:r>
        <w:rPr>
          <w:rFonts w:ascii="Times New Roman"/>
        </w:rPr>
        <w:t>×</w:t>
      </w:r>
      <w:r>
        <w:rPr>
          <w:rFonts w:ascii="Times New Roman" w:hint="eastAsia"/>
        </w:rPr>
        <w:t xml:space="preserve"> </w:t>
      </w:r>
      <w:r>
        <w:rPr>
          <w:rFonts w:ascii="Times New Roman"/>
        </w:rPr>
        <w:t>3mm</w:t>
      </w:r>
      <w:r>
        <w:rPr>
          <w:rFonts w:ascii="Times New Roman"/>
        </w:rPr>
        <w:t>。实验过程中通过热电偶或红外测温设备记录材料的基体温度；通过高速红外测温仪记录</w:t>
      </w:r>
      <w:r>
        <w:rPr>
          <w:rFonts w:ascii="Times New Roman" w:hint="eastAsia"/>
        </w:rPr>
        <w:t>瞬态高热负荷</w:t>
      </w:r>
      <w:r>
        <w:rPr>
          <w:rFonts w:ascii="Times New Roman"/>
        </w:rPr>
        <w:t>实验过程中的辐照区域的表面温度变化。</w:t>
      </w:r>
      <w:r>
        <w:rPr>
          <w:rFonts w:ascii="Times New Roman" w:hint="eastAsia"/>
        </w:rPr>
        <w:t>瞬态高热负荷</w:t>
      </w:r>
      <w:r>
        <w:rPr>
          <w:rFonts w:ascii="Times New Roman"/>
        </w:rPr>
        <w:t>实验的电子束的扫描频率不低于</w:t>
      </w:r>
      <w:r>
        <w:rPr>
          <w:rFonts w:ascii="Times New Roman"/>
        </w:rPr>
        <w:t>10kHz</w:t>
      </w:r>
      <w:r>
        <w:rPr>
          <w:rFonts w:ascii="Times New Roman"/>
        </w:rPr>
        <w:t>，材料对电子束的吸收功率密度通过下面的计算公式得到：</w:t>
      </w:r>
    </w:p>
    <w:p w14:paraId="3E2CDAFA" w14:textId="77777777" w:rsidR="006D0CDE" w:rsidRDefault="00000000">
      <w:pPr>
        <w:autoSpaceDE w:val="0"/>
        <w:autoSpaceDN w:val="0"/>
        <w:spacing w:line="240" w:lineRule="auto"/>
        <w:ind w:right="240"/>
        <w:jc w:val="center"/>
        <w:rPr>
          <w:rFonts w:ascii="Times New Roman" w:hAnsi="Times New Roman"/>
        </w:rPr>
      </w:pPr>
      <w:r>
        <w:rPr>
          <w:rFonts w:ascii="Times New Roman" w:hAnsi="Times New Roman" w:hint="eastAsia"/>
        </w:rPr>
        <w:t xml:space="preserve"> </w:t>
      </w:r>
      <m:oMath>
        <m:sSub>
          <m:sSubPr>
            <m:ctrlPr>
              <w:rPr>
                <w:rFonts w:ascii="Cambria Math" w:hAnsi="Cambria Math"/>
                <w:i/>
                <w:sz w:val="28"/>
                <w:szCs w:val="28"/>
              </w:rPr>
            </m:ctrlPr>
          </m:sSubPr>
          <m:e>
            <m:r>
              <w:rPr>
                <w:rFonts w:ascii="Cambria Math" w:hAnsi="Cambria Math"/>
                <w:sz w:val="28"/>
                <w:szCs w:val="28"/>
              </w:rPr>
              <m:t>P</m:t>
            </m:r>
          </m:e>
          <m:sub>
            <m:r>
              <m:rPr>
                <m:sty m:val="p"/>
              </m:rPr>
              <w:rPr>
                <w:rFonts w:ascii="Cambria Math" w:hAnsi="Cambria Math"/>
                <w:sz w:val="28"/>
                <w:szCs w:val="28"/>
              </w:rPr>
              <m:t>abs</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U × I × α</m:t>
            </m:r>
          </m:num>
          <m:den>
            <m:r>
              <w:rPr>
                <w:rFonts w:ascii="Cambria Math" w:hAnsi="Cambria Math"/>
                <w:sz w:val="28"/>
                <w:szCs w:val="28"/>
              </w:rPr>
              <m:t>S</m:t>
            </m:r>
          </m:den>
        </m:f>
      </m:oMath>
    </w:p>
    <w:p w14:paraId="59D98F05" w14:textId="77777777" w:rsidR="006D0CDE" w:rsidRDefault="00000000">
      <w:pPr>
        <w:pStyle w:val="affffff1"/>
        <w:ind w:firstLine="420"/>
        <w:rPr>
          <w:rFonts w:ascii="Times New Roman"/>
          <w:color w:val="FF0000"/>
          <w:highlight w:val="yellow"/>
        </w:rPr>
      </w:pPr>
      <w:r>
        <w:rPr>
          <w:rFonts w:ascii="Times New Roman"/>
        </w:rPr>
        <w:t>公式中：</w:t>
      </w:r>
    </w:p>
    <w:p w14:paraId="0A50A9BB" w14:textId="77777777" w:rsidR="006D0CDE" w:rsidRDefault="00000000">
      <w:pPr>
        <w:pStyle w:val="affffff1"/>
        <w:ind w:firstLineChars="0" w:firstLine="0"/>
        <w:rPr>
          <w:rFonts w:ascii="Times New Roman"/>
        </w:rPr>
      </w:pPr>
      <w:proofErr w:type="spellStart"/>
      <w:r>
        <w:rPr>
          <w:rFonts w:ascii="Times New Roman"/>
          <w:i/>
          <w:iCs/>
        </w:rPr>
        <w:t>P</w:t>
      </w:r>
      <w:r>
        <w:rPr>
          <w:rFonts w:ascii="Times New Roman"/>
          <w:vertAlign w:val="subscript"/>
        </w:rPr>
        <w:t>abs</w:t>
      </w:r>
      <w:proofErr w:type="spellEnd"/>
      <w:r>
        <w:rPr>
          <w:rFonts w:ascii="Times New Roman" w:hint="eastAsia"/>
          <w:vertAlign w:val="subscript"/>
        </w:rPr>
        <w:t xml:space="preserve"> </w:t>
      </w:r>
      <w:r>
        <w:rPr>
          <w:rFonts w:ascii="Times New Roman"/>
        </w:rPr>
        <w:t>——</w:t>
      </w:r>
      <w:r>
        <w:rPr>
          <w:rFonts w:ascii="Times New Roman"/>
        </w:rPr>
        <w:t>吸收功率密度，单位为</w:t>
      </w:r>
      <w:r>
        <w:rPr>
          <w:rFonts w:ascii="Times New Roman"/>
        </w:rPr>
        <w:t>W/m</w:t>
      </w:r>
      <w:r>
        <w:rPr>
          <w:rFonts w:ascii="Times New Roman"/>
          <w:vertAlign w:val="superscript"/>
        </w:rPr>
        <w:t>2</w:t>
      </w:r>
    </w:p>
    <w:p w14:paraId="538C2886" w14:textId="77777777" w:rsidR="006D0CDE" w:rsidRDefault="00000000">
      <w:pPr>
        <w:pStyle w:val="affffff1"/>
        <w:ind w:firstLineChars="0" w:firstLine="0"/>
        <w:rPr>
          <w:rFonts w:ascii="Times New Roman"/>
        </w:rPr>
      </w:pPr>
      <w:r>
        <w:rPr>
          <w:rFonts w:ascii="Times New Roman"/>
          <w:i/>
          <w:iCs/>
        </w:rPr>
        <w:t>U</w:t>
      </w:r>
      <w:r>
        <w:rPr>
          <w:rFonts w:ascii="Times New Roman" w:hint="eastAsia"/>
          <w:i/>
          <w:iCs/>
        </w:rPr>
        <w:t xml:space="preserve"> </w:t>
      </w:r>
      <w:r>
        <w:rPr>
          <w:rFonts w:ascii="Times New Roman"/>
        </w:rPr>
        <w:t>——</w:t>
      </w:r>
      <w:r>
        <w:rPr>
          <w:rFonts w:ascii="Times New Roman"/>
        </w:rPr>
        <w:t>加速电压，单位为</w:t>
      </w:r>
      <w:r>
        <w:rPr>
          <w:rFonts w:ascii="Times New Roman"/>
        </w:rPr>
        <w:t>V</w:t>
      </w:r>
    </w:p>
    <w:p w14:paraId="42FB825C" w14:textId="77777777" w:rsidR="006D0CDE" w:rsidRDefault="00000000">
      <w:pPr>
        <w:pStyle w:val="affffff1"/>
        <w:ind w:firstLineChars="0" w:firstLine="0"/>
        <w:rPr>
          <w:rFonts w:ascii="Times New Roman"/>
        </w:rPr>
      </w:pPr>
      <w:r>
        <w:rPr>
          <w:rFonts w:ascii="Times New Roman"/>
          <w:i/>
          <w:iCs/>
        </w:rPr>
        <w:lastRenderedPageBreak/>
        <w:t>I</w:t>
      </w:r>
      <w:r>
        <w:rPr>
          <w:rFonts w:ascii="Times New Roman" w:hint="eastAsia"/>
          <w:i/>
          <w:iCs/>
        </w:rPr>
        <w:t xml:space="preserve"> </w:t>
      </w:r>
      <w:r>
        <w:rPr>
          <w:rFonts w:ascii="Times New Roman"/>
        </w:rPr>
        <w:t>——</w:t>
      </w:r>
      <w:r>
        <w:rPr>
          <w:rFonts w:ascii="Times New Roman"/>
        </w:rPr>
        <w:t>加载电流，单位为</w:t>
      </w:r>
      <w:r>
        <w:rPr>
          <w:rFonts w:ascii="Times New Roman"/>
        </w:rPr>
        <w:t>A</w:t>
      </w:r>
    </w:p>
    <w:p w14:paraId="45C4C98E" w14:textId="77777777" w:rsidR="006D0CDE" w:rsidRDefault="00000000">
      <w:pPr>
        <w:pStyle w:val="affffff1"/>
        <w:ind w:firstLineChars="0" w:firstLine="0"/>
        <w:rPr>
          <w:rFonts w:ascii="Times New Roman"/>
        </w:rPr>
      </w:pPr>
      <w:r>
        <w:rPr>
          <w:rFonts w:ascii="Times New Roman"/>
          <w:i/>
          <w:iCs/>
        </w:rPr>
        <w:t>Α</w:t>
      </w:r>
      <w:r>
        <w:rPr>
          <w:rFonts w:ascii="Times New Roman" w:hint="eastAsia"/>
          <w:i/>
          <w:iCs/>
        </w:rPr>
        <w:t xml:space="preserve"> </w:t>
      </w:r>
      <w:r>
        <w:rPr>
          <w:rFonts w:ascii="Times New Roman"/>
        </w:rPr>
        <w:t>——</w:t>
      </w:r>
      <w:r>
        <w:rPr>
          <w:rFonts w:ascii="Times New Roman"/>
        </w:rPr>
        <w:t>电流吸收系数，无量纲。</w:t>
      </w:r>
      <w:r>
        <w:rPr>
          <w:rFonts w:ascii="Times New Roman"/>
          <w:i/>
          <w:iCs/>
        </w:rPr>
        <w:t>α</w:t>
      </w:r>
      <w:r>
        <w:rPr>
          <w:rFonts w:ascii="Times New Roman"/>
        </w:rPr>
        <w:t>为吸收电流与入射电流的比值，通过数据采集系统得到；对于钨基面向等离子体材料也可以采用</w:t>
      </w:r>
      <w:r>
        <w:rPr>
          <w:rFonts w:ascii="Times New Roman"/>
        </w:rPr>
        <w:t>55%</w:t>
      </w:r>
      <w:r>
        <w:rPr>
          <w:rFonts w:ascii="Times New Roman"/>
        </w:rPr>
        <w:t>的电流吸收系数。</w:t>
      </w:r>
    </w:p>
    <w:p w14:paraId="29752707" w14:textId="77777777" w:rsidR="006D0CDE" w:rsidRDefault="00000000">
      <w:pPr>
        <w:pStyle w:val="affffff1"/>
        <w:ind w:firstLineChars="0" w:firstLine="0"/>
        <w:rPr>
          <w:rFonts w:ascii="Times New Roman"/>
        </w:rPr>
      </w:pPr>
      <w:r>
        <w:rPr>
          <w:rFonts w:ascii="Times New Roman"/>
        </w:rPr>
        <w:t>S</w:t>
      </w:r>
      <w:r>
        <w:rPr>
          <w:rFonts w:ascii="Times New Roman" w:hint="eastAsia"/>
        </w:rPr>
        <w:t xml:space="preserve"> </w:t>
      </w:r>
      <w:r>
        <w:rPr>
          <w:rFonts w:ascii="Times New Roman"/>
        </w:rPr>
        <w:t>——</w:t>
      </w:r>
      <w:r>
        <w:rPr>
          <w:rFonts w:ascii="Times New Roman"/>
        </w:rPr>
        <w:t>电子束辐照面积，单位</w:t>
      </w:r>
      <w:r>
        <w:rPr>
          <w:rFonts w:ascii="Times New Roman"/>
        </w:rPr>
        <w:t>m</w:t>
      </w:r>
      <w:r>
        <w:rPr>
          <w:rFonts w:ascii="Times New Roman"/>
          <w:vertAlign w:val="superscript"/>
        </w:rPr>
        <w:t>2</w:t>
      </w:r>
      <w:r>
        <w:rPr>
          <w:rFonts w:ascii="Times New Roman"/>
        </w:rPr>
        <w:t>。</w:t>
      </w:r>
    </w:p>
    <w:p w14:paraId="0E66F43D" w14:textId="77777777" w:rsidR="006D0CDE" w:rsidRDefault="006D0CDE">
      <w:pPr>
        <w:spacing w:line="240" w:lineRule="auto"/>
        <w:ind w:firstLineChars="200" w:firstLine="420"/>
        <w:rPr>
          <w:rFonts w:ascii="Times New Roman" w:hAnsi="Times New Roman"/>
        </w:rPr>
      </w:pPr>
    </w:p>
    <w:p w14:paraId="1EB48095" w14:textId="77777777" w:rsidR="006D0CDE" w:rsidRDefault="00000000">
      <w:pPr>
        <w:pStyle w:val="afff4"/>
        <w:spacing w:before="156" w:after="156"/>
      </w:pPr>
      <w:r>
        <w:rPr>
          <w:rFonts w:ascii="Times New Roman" w:eastAsia="宋体"/>
          <w:b/>
          <w:bCs/>
        </w:rPr>
        <w:t>稳态高热负荷实验</w:t>
      </w:r>
    </w:p>
    <w:p w14:paraId="0DB5A55B" w14:textId="77777777" w:rsidR="006D0CDE" w:rsidRDefault="00000000">
      <w:pPr>
        <w:pStyle w:val="affffff1"/>
        <w:ind w:firstLine="420"/>
        <w:rPr>
          <w:rFonts w:ascii="Times New Roman"/>
        </w:rPr>
      </w:pPr>
      <w:r>
        <w:rPr>
          <w:rFonts w:ascii="Times New Roman" w:hint="eastAsia"/>
        </w:rPr>
        <w:t>目的：</w:t>
      </w:r>
      <w:r>
        <w:rPr>
          <w:rFonts w:ascii="Times New Roman"/>
        </w:rPr>
        <w:t>稳态高热负荷实验主要考核水冷模块的面向等离子体材料耐高热负荷性能以及模块各界面的连接性能。</w:t>
      </w:r>
    </w:p>
    <w:p w14:paraId="0C9543A4" w14:textId="77777777" w:rsidR="006D0CDE" w:rsidRDefault="00000000">
      <w:pPr>
        <w:pStyle w:val="affffff1"/>
        <w:ind w:firstLine="420"/>
        <w:rPr>
          <w:rFonts w:ascii="Times New Roman"/>
        </w:rPr>
      </w:pPr>
      <w:r>
        <w:rPr>
          <w:rFonts w:ascii="Times New Roman"/>
        </w:rPr>
        <w:t>稳态高热负荷实验有两种实验模式：筛选实验和热疲劳实验。筛选实验通过逐步增加高热负荷进行，初步考察水冷模块的连接质量，并揭示水冷模块的极限祛热能力；热疲劳实验则循环加载某一功率密度的热负荷，每一循环包括加热和冷却两个阶段，典型的加热持续时间从</w:t>
      </w:r>
      <w:r>
        <w:rPr>
          <w:rFonts w:ascii="Times New Roman"/>
        </w:rPr>
        <w:t>10s</w:t>
      </w:r>
      <w:r>
        <w:rPr>
          <w:rFonts w:ascii="Times New Roman"/>
        </w:rPr>
        <w:t>到连续工作，主要取决于水冷模块达到热平衡的时间，循环加载实验用来考察水冷模块的面向等离子体材料以及连接界面的耐热高热负荷性能。在这些实验当中，当加载热负荷过高或循环次数过多导致模块出现损伤或失效，可以直接通过表面过热进行观察。</w:t>
      </w:r>
    </w:p>
    <w:p w14:paraId="5550AB2A" w14:textId="77777777" w:rsidR="006D0CDE" w:rsidRDefault="00000000">
      <w:pPr>
        <w:pStyle w:val="affffff1"/>
        <w:ind w:firstLine="420"/>
        <w:rPr>
          <w:rFonts w:ascii="Times New Roman"/>
        </w:rPr>
      </w:pPr>
      <w:r>
        <w:rPr>
          <w:rFonts w:ascii="Times New Roman"/>
        </w:rPr>
        <w:t>实验过程中通过红外测温仪和红外热像仪监控水冷模块的表面温度；通过热电偶监测水冷模块的体温度以及界面温度；通过热电偶监测水冷模块的进出口水温变化。稳态热负荷实验吸收功率密度通过水冷模块进出口水温、冷却水流量和电子束加载面积计算：</w:t>
      </w:r>
    </w:p>
    <w:p w14:paraId="12C35A21" w14:textId="77777777" w:rsidR="006D0CDE" w:rsidRDefault="00000000">
      <w:pPr>
        <w:wordWrap w:val="0"/>
        <w:spacing w:line="240" w:lineRule="auto"/>
        <w:jc w:val="center"/>
        <w:rPr>
          <w:rFonts w:ascii="Times New Roman" w:hAnsi="Times New Roman"/>
        </w:rPr>
      </w:pPr>
      <m:oMathPara>
        <m:oMath>
          <m:sSub>
            <m:sSubPr>
              <m:ctrlPr>
                <w:rPr>
                  <w:rFonts w:ascii="Cambria Math" w:hAnsi="Times New Roman"/>
                  <w:i/>
                  <w:sz w:val="28"/>
                  <w:lang w:bidi="ar"/>
                </w:rPr>
              </m:ctrlPr>
            </m:sSubPr>
            <m:e>
              <m:r>
                <w:rPr>
                  <w:rFonts w:ascii="Cambria Math" w:hAnsi="Times New Roman"/>
                  <w:sz w:val="28"/>
                  <w:lang w:bidi="ar"/>
                </w:rPr>
                <m:t>P</m:t>
              </m:r>
            </m:e>
            <m:sub>
              <m:r>
                <m:rPr>
                  <m:sty m:val="p"/>
                </m:rPr>
                <w:rPr>
                  <w:rFonts w:ascii="Cambria Math" w:hAnsi="Cambria Math"/>
                  <w:sz w:val="28"/>
                  <w:lang w:bidi="ar"/>
                </w:rPr>
                <m:t>abs</m:t>
              </m:r>
            </m:sub>
          </m:sSub>
          <m:r>
            <w:rPr>
              <w:rFonts w:ascii="Cambria Math" w:hAnsi="Cambria Math"/>
              <w:sz w:val="28"/>
              <w:lang w:bidi="ar"/>
            </w:rPr>
            <m:t>=</m:t>
          </m:r>
          <m:f>
            <m:fPr>
              <m:ctrlPr>
                <w:rPr>
                  <w:rFonts w:ascii="Cambria Math" w:hAnsi="Cambria Math"/>
                  <w:i/>
                  <w:sz w:val="28"/>
                  <w:lang w:bidi="ar"/>
                </w:rPr>
              </m:ctrlPr>
            </m:fPr>
            <m:num>
              <m:sSub>
                <m:sSubPr>
                  <m:ctrlPr>
                    <w:rPr>
                      <w:rFonts w:ascii="Cambria Math" w:hAnsi="Cambria Math"/>
                      <w:i/>
                      <w:sz w:val="28"/>
                      <w:lang w:bidi="ar"/>
                    </w:rPr>
                  </m:ctrlPr>
                </m:sSubPr>
                <m:e>
                  <m:r>
                    <w:rPr>
                      <w:rFonts w:ascii="Cambria Math" w:hAnsi="Cambria Math"/>
                      <w:sz w:val="28"/>
                      <w:lang w:bidi="ar"/>
                    </w:rPr>
                    <m:t>C</m:t>
                  </m:r>
                </m:e>
                <m:sub>
                  <m:r>
                    <m:rPr>
                      <m:sty m:val="p"/>
                    </m:rPr>
                    <w:rPr>
                      <w:rFonts w:ascii="Cambria Math" w:hAnsi="Cambria Math"/>
                      <w:sz w:val="28"/>
                      <w:lang w:bidi="ar"/>
                    </w:rPr>
                    <m:t>p</m:t>
                  </m:r>
                  <m:r>
                    <w:rPr>
                      <w:rFonts w:ascii="Cambria Math" w:hAnsi="Cambria Math"/>
                      <w:sz w:val="28"/>
                      <w:lang w:bidi="ar"/>
                    </w:rPr>
                    <m:t xml:space="preserve"> </m:t>
                  </m:r>
                </m:sub>
              </m:sSub>
              <m:r>
                <w:rPr>
                  <w:rFonts w:ascii="Cambria Math" w:hAnsi="Cambria Math"/>
                  <w:sz w:val="28"/>
                  <w:lang w:bidi="ar"/>
                </w:rPr>
                <m:t xml:space="preserve">× ( </m:t>
              </m:r>
              <m:sSub>
                <m:sSubPr>
                  <m:ctrlPr>
                    <w:rPr>
                      <w:rFonts w:ascii="Cambria Math" w:hAnsi="Cambria Math"/>
                      <w:i/>
                      <w:sz w:val="28"/>
                      <w:lang w:bidi="ar"/>
                    </w:rPr>
                  </m:ctrlPr>
                </m:sSubPr>
                <m:e>
                  <m:r>
                    <w:rPr>
                      <w:rFonts w:ascii="Cambria Math" w:hAnsi="Cambria Math"/>
                      <w:sz w:val="28"/>
                      <w:lang w:bidi="ar"/>
                    </w:rPr>
                    <m:t>T</m:t>
                  </m:r>
                </m:e>
                <m:sub>
                  <m:r>
                    <m:rPr>
                      <m:sty m:val="p"/>
                    </m:rPr>
                    <w:rPr>
                      <w:rFonts w:ascii="Cambria Math" w:hAnsi="Cambria Math"/>
                      <w:sz w:val="28"/>
                      <w:lang w:bidi="ar"/>
                    </w:rPr>
                    <m:t>outlet</m:t>
                  </m:r>
                </m:sub>
              </m:sSub>
              <m:r>
                <w:rPr>
                  <w:rFonts w:ascii="Cambria Math" w:hAnsi="Cambria Math"/>
                  <w:sz w:val="28"/>
                  <w:lang w:bidi="ar"/>
                </w:rPr>
                <m:t xml:space="preserve"> - </m:t>
              </m:r>
              <m:sSub>
                <m:sSubPr>
                  <m:ctrlPr>
                    <w:rPr>
                      <w:rFonts w:ascii="Cambria Math" w:hAnsi="Cambria Math"/>
                      <w:i/>
                      <w:sz w:val="28"/>
                      <w:lang w:bidi="ar"/>
                    </w:rPr>
                  </m:ctrlPr>
                </m:sSubPr>
                <m:e>
                  <m:r>
                    <w:rPr>
                      <w:rFonts w:ascii="Cambria Math" w:hAnsi="Cambria Math"/>
                      <w:sz w:val="28"/>
                      <w:lang w:bidi="ar"/>
                    </w:rPr>
                    <m:t>T</m:t>
                  </m:r>
                </m:e>
                <m:sub>
                  <m:r>
                    <m:rPr>
                      <m:sty m:val="p"/>
                    </m:rPr>
                    <w:rPr>
                      <w:rFonts w:ascii="Cambria Math" w:hAnsi="Cambria Math"/>
                      <w:sz w:val="28"/>
                      <w:lang w:bidi="ar"/>
                    </w:rPr>
                    <m:t>inlet</m:t>
                  </m:r>
                </m:sub>
              </m:sSub>
              <m:r>
                <w:rPr>
                  <w:rFonts w:ascii="Cambria Math" w:hAnsi="Cambria Math"/>
                  <w:sz w:val="28"/>
                  <w:lang w:bidi="ar"/>
                </w:rPr>
                <m:t xml:space="preserve"> ) × v</m:t>
              </m:r>
            </m:num>
            <m:den>
              <m:r>
                <w:rPr>
                  <w:rFonts w:ascii="Cambria Math" w:hAnsi="Cambria Math"/>
                  <w:sz w:val="28"/>
                  <w:lang w:bidi="ar"/>
                </w:rPr>
                <m:t>S</m:t>
              </m:r>
            </m:den>
          </m:f>
        </m:oMath>
      </m:oMathPara>
    </w:p>
    <w:p w14:paraId="6B655EBB" w14:textId="77777777" w:rsidR="006D0CDE" w:rsidRDefault="00000000">
      <w:pPr>
        <w:pStyle w:val="affffff0"/>
        <w:spacing w:line="240" w:lineRule="auto"/>
        <w:ind w:firstLine="420"/>
        <w:rPr>
          <w:rFonts w:ascii="Times New Roman" w:hAnsi="Times New Roman"/>
        </w:rPr>
      </w:pPr>
      <w:r>
        <w:rPr>
          <w:rFonts w:ascii="Times New Roman" w:hAnsi="Times New Roman"/>
        </w:rPr>
        <w:t>式中：</w:t>
      </w:r>
    </w:p>
    <w:p w14:paraId="2AF0155C" w14:textId="77777777" w:rsidR="006D0CDE" w:rsidRDefault="00000000">
      <w:pPr>
        <w:pStyle w:val="affffff1"/>
        <w:ind w:firstLineChars="0" w:firstLine="0"/>
        <w:rPr>
          <w:rFonts w:ascii="Times New Roman"/>
        </w:rPr>
      </w:pPr>
      <w:proofErr w:type="spellStart"/>
      <w:r>
        <w:rPr>
          <w:rFonts w:ascii="Times New Roman"/>
          <w:i/>
          <w:iCs/>
        </w:rPr>
        <w:t>P</w:t>
      </w:r>
      <w:r>
        <w:rPr>
          <w:rFonts w:ascii="Times New Roman"/>
          <w:vertAlign w:val="subscript"/>
        </w:rPr>
        <w:t>abs</w:t>
      </w:r>
      <w:proofErr w:type="spellEnd"/>
      <w:r>
        <w:rPr>
          <w:rFonts w:ascii="Times New Roman" w:hint="eastAsia"/>
          <w:vertAlign w:val="subscript"/>
        </w:rPr>
        <w:t xml:space="preserve"> </w:t>
      </w:r>
      <w:r>
        <w:rPr>
          <w:rFonts w:ascii="Times New Roman"/>
        </w:rPr>
        <w:t>——</w:t>
      </w:r>
      <w:r>
        <w:rPr>
          <w:rFonts w:ascii="Times New Roman"/>
        </w:rPr>
        <w:t>吸收功率密度，单位为</w:t>
      </w:r>
      <w:r>
        <w:rPr>
          <w:rFonts w:ascii="Times New Roman"/>
        </w:rPr>
        <w:t>W/m</w:t>
      </w:r>
      <w:r>
        <w:rPr>
          <w:rFonts w:ascii="Times New Roman"/>
          <w:vertAlign w:val="superscript"/>
        </w:rPr>
        <w:t>2</w:t>
      </w:r>
      <w:r>
        <w:rPr>
          <w:rFonts w:ascii="Times New Roman"/>
        </w:rPr>
        <w:t>；</w:t>
      </w:r>
    </w:p>
    <w:p w14:paraId="577033C7" w14:textId="77777777" w:rsidR="006D0CDE" w:rsidRDefault="00000000">
      <w:pPr>
        <w:pStyle w:val="affffff1"/>
        <w:ind w:firstLineChars="0" w:firstLine="0"/>
        <w:rPr>
          <w:rFonts w:ascii="Times New Roman"/>
        </w:rPr>
      </w:pPr>
      <m:oMath>
        <m:r>
          <w:rPr>
            <w:rFonts w:ascii="Cambria Math" w:hAnsi="Cambria Math"/>
            <w:sz w:val="24"/>
            <w:lang w:bidi="ar"/>
          </w:rPr>
          <m:t xml:space="preserve">v </m:t>
        </m:r>
      </m:oMath>
      <w:r>
        <w:rPr>
          <w:rFonts w:ascii="Times New Roman"/>
        </w:rPr>
        <w:t>——</w:t>
      </w:r>
      <w:r>
        <w:rPr>
          <w:rFonts w:ascii="Times New Roman"/>
        </w:rPr>
        <w:t>为冷却水流速，单位为</w:t>
      </w:r>
      <w:r>
        <w:rPr>
          <w:rFonts w:ascii="Times New Roman"/>
        </w:rPr>
        <w:t>kg/s</w:t>
      </w:r>
      <w:r>
        <w:rPr>
          <w:rFonts w:ascii="Times New Roman"/>
        </w:rPr>
        <w:t>；</w:t>
      </w:r>
    </w:p>
    <w:p w14:paraId="067F2C78" w14:textId="77777777" w:rsidR="006D0CDE" w:rsidRDefault="00000000">
      <w:pPr>
        <w:pStyle w:val="affffff1"/>
        <w:ind w:firstLineChars="0" w:firstLine="0"/>
        <w:rPr>
          <w:rFonts w:ascii="Times New Roman"/>
        </w:rPr>
      </w:pPr>
      <w:r>
        <w:rPr>
          <w:rFonts w:ascii="Times New Roman"/>
          <w:i/>
          <w:iCs/>
        </w:rPr>
        <w:t>C</w:t>
      </w:r>
      <w:r>
        <w:rPr>
          <w:rFonts w:ascii="Times New Roman"/>
          <w:vertAlign w:val="subscript"/>
        </w:rPr>
        <w:t>p</w:t>
      </w:r>
      <w:r>
        <w:rPr>
          <w:rFonts w:ascii="Times New Roman" w:hint="eastAsia"/>
          <w:vertAlign w:val="subscript"/>
        </w:rPr>
        <w:t xml:space="preserve"> </w:t>
      </w:r>
      <w:r>
        <w:rPr>
          <w:rFonts w:ascii="Times New Roman"/>
        </w:rPr>
        <w:t>——</w:t>
      </w:r>
      <w:r>
        <w:rPr>
          <w:rFonts w:ascii="Times New Roman"/>
        </w:rPr>
        <w:t>水的比热容，单位为</w:t>
      </w:r>
      <w:r>
        <w:rPr>
          <w:rFonts w:ascii="Times New Roman"/>
        </w:rPr>
        <w:t>J/(kg·℃)</w:t>
      </w:r>
      <w:r>
        <w:rPr>
          <w:rFonts w:ascii="Times New Roman"/>
        </w:rPr>
        <w:t>；</w:t>
      </w:r>
    </w:p>
    <w:p w14:paraId="57D99C88" w14:textId="77777777" w:rsidR="006D0CDE" w:rsidRDefault="00000000">
      <w:pPr>
        <w:pStyle w:val="affffff1"/>
        <w:ind w:firstLineChars="0" w:firstLine="0"/>
        <w:rPr>
          <w:rFonts w:ascii="Times New Roman"/>
        </w:rPr>
      </w:pPr>
      <w:proofErr w:type="spellStart"/>
      <w:r>
        <w:rPr>
          <w:rFonts w:ascii="Times New Roman"/>
          <w:i/>
          <w:iCs/>
          <w:kern w:val="2"/>
          <w:sz w:val="24"/>
          <w:lang w:bidi="ar"/>
        </w:rPr>
        <w:t>T</w:t>
      </w:r>
      <w:r>
        <w:rPr>
          <w:rFonts w:ascii="Times New Roman"/>
          <w:kern w:val="2"/>
          <w:sz w:val="24"/>
          <w:vertAlign w:val="subscript"/>
          <w:lang w:bidi="ar"/>
        </w:rPr>
        <w:t>outlet</w:t>
      </w:r>
      <w:proofErr w:type="spellEnd"/>
      <w:r>
        <w:rPr>
          <w:rFonts w:ascii="Times New Roman" w:hint="eastAsia"/>
          <w:kern w:val="2"/>
          <w:sz w:val="24"/>
          <w:vertAlign w:val="subscript"/>
          <w:lang w:bidi="ar"/>
        </w:rPr>
        <w:t xml:space="preserve"> </w:t>
      </w:r>
      <w:r>
        <w:rPr>
          <w:rFonts w:ascii="Times New Roman"/>
        </w:rPr>
        <w:t>——</w:t>
      </w:r>
      <w:r>
        <w:rPr>
          <w:rFonts w:ascii="Times New Roman"/>
        </w:rPr>
        <w:t>电子束加载时水冷模块的出水口冷却水温度，单位为</w:t>
      </w:r>
      <w:r>
        <w:rPr>
          <w:rFonts w:ascii="Times New Roman"/>
        </w:rPr>
        <w:t>℃</w:t>
      </w:r>
      <w:r>
        <w:rPr>
          <w:rFonts w:ascii="Times New Roman"/>
        </w:rPr>
        <w:t>；</w:t>
      </w:r>
    </w:p>
    <w:p w14:paraId="5256FC4D" w14:textId="77777777" w:rsidR="006D0CDE" w:rsidRDefault="00000000">
      <w:pPr>
        <w:pStyle w:val="affffff1"/>
        <w:ind w:firstLineChars="0" w:firstLine="0"/>
        <w:rPr>
          <w:rFonts w:ascii="Times New Roman"/>
        </w:rPr>
      </w:pPr>
      <w:proofErr w:type="spellStart"/>
      <w:r>
        <w:rPr>
          <w:rFonts w:ascii="Times New Roman"/>
          <w:i/>
          <w:iCs/>
          <w:kern w:val="2"/>
          <w:sz w:val="24"/>
          <w:lang w:bidi="ar"/>
        </w:rPr>
        <w:t>T</w:t>
      </w:r>
      <w:r>
        <w:rPr>
          <w:rFonts w:ascii="Times New Roman"/>
          <w:kern w:val="2"/>
          <w:sz w:val="24"/>
          <w:vertAlign w:val="subscript"/>
          <w:lang w:bidi="ar"/>
        </w:rPr>
        <w:t>inlet</w:t>
      </w:r>
      <w:proofErr w:type="spellEnd"/>
      <w:r>
        <w:rPr>
          <w:rFonts w:ascii="Times New Roman" w:hint="eastAsia"/>
          <w:kern w:val="2"/>
          <w:sz w:val="24"/>
          <w:vertAlign w:val="subscript"/>
          <w:lang w:bidi="ar"/>
        </w:rPr>
        <w:t xml:space="preserve"> </w:t>
      </w:r>
      <w:r>
        <w:rPr>
          <w:rFonts w:ascii="Times New Roman"/>
        </w:rPr>
        <w:t>——</w:t>
      </w:r>
      <w:r>
        <w:rPr>
          <w:rFonts w:ascii="Times New Roman"/>
        </w:rPr>
        <w:t>电子束加载时水冷模块的入水口冷却水温度，单位为</w:t>
      </w:r>
      <w:r>
        <w:rPr>
          <w:rFonts w:ascii="Times New Roman"/>
        </w:rPr>
        <w:t>℃</w:t>
      </w:r>
      <w:r>
        <w:rPr>
          <w:rFonts w:ascii="Times New Roman"/>
        </w:rPr>
        <w:t>；</w:t>
      </w:r>
    </w:p>
    <w:p w14:paraId="6E19E937" w14:textId="77777777" w:rsidR="006D0CDE" w:rsidRDefault="00000000">
      <w:pPr>
        <w:pStyle w:val="affffff1"/>
        <w:ind w:firstLineChars="0" w:firstLine="0"/>
        <w:rPr>
          <w:rFonts w:ascii="Times New Roman"/>
        </w:rPr>
      </w:pPr>
      <w:r>
        <w:rPr>
          <w:rFonts w:ascii="Times New Roman"/>
          <w:i/>
          <w:iCs/>
        </w:rPr>
        <w:t>S</w:t>
      </w:r>
      <w:r>
        <w:rPr>
          <w:rFonts w:ascii="Times New Roman" w:hint="eastAsia"/>
          <w:i/>
          <w:iCs/>
        </w:rPr>
        <w:t xml:space="preserve"> </w:t>
      </w:r>
      <w:r>
        <w:rPr>
          <w:rFonts w:ascii="Times New Roman"/>
        </w:rPr>
        <w:t>——</w:t>
      </w:r>
      <w:r>
        <w:rPr>
          <w:rFonts w:ascii="Times New Roman"/>
        </w:rPr>
        <w:t>电子束加热面积，单位为平方米（</w:t>
      </w:r>
      <w:r>
        <w:rPr>
          <w:rFonts w:ascii="Times New Roman"/>
        </w:rPr>
        <w:t>m</w:t>
      </w:r>
      <w:r>
        <w:rPr>
          <w:rFonts w:ascii="Times New Roman"/>
          <w:vertAlign w:val="superscript"/>
        </w:rPr>
        <w:t>2</w:t>
      </w:r>
      <w:r>
        <w:rPr>
          <w:rFonts w:ascii="Times New Roman"/>
        </w:rPr>
        <w:t>）。</w:t>
      </w:r>
    </w:p>
    <w:p w14:paraId="7314DB9D" w14:textId="77777777" w:rsidR="006D0CDE" w:rsidRDefault="006D0CDE">
      <w:pPr>
        <w:spacing w:line="240" w:lineRule="auto"/>
        <w:ind w:firstLineChars="200" w:firstLine="420"/>
        <w:rPr>
          <w:rFonts w:ascii="Times New Roman" w:hAnsi="Times New Roman"/>
        </w:rPr>
      </w:pPr>
    </w:p>
    <w:p w14:paraId="023A00F6" w14:textId="77777777" w:rsidR="006D0CDE" w:rsidRDefault="00000000">
      <w:pPr>
        <w:pStyle w:val="afff4"/>
        <w:spacing w:before="156" w:after="156"/>
        <w:rPr>
          <w:rFonts w:ascii="Times New Roman" w:eastAsia="宋体"/>
          <w:b/>
          <w:bCs/>
        </w:rPr>
      </w:pPr>
      <w:r>
        <w:rPr>
          <w:rFonts w:ascii="Times New Roman" w:eastAsia="宋体"/>
          <w:b/>
          <w:bCs/>
        </w:rPr>
        <w:t>瞬态和稳态高热负荷协同实验</w:t>
      </w:r>
    </w:p>
    <w:p w14:paraId="064398A4" w14:textId="77777777" w:rsidR="006D0CDE" w:rsidRDefault="00000000">
      <w:pPr>
        <w:pStyle w:val="affffff1"/>
        <w:ind w:firstLine="420"/>
        <w:rPr>
          <w:rFonts w:ascii="Times New Roman"/>
        </w:rPr>
      </w:pPr>
      <w:r>
        <w:rPr>
          <w:rFonts w:ascii="Times New Roman"/>
        </w:rPr>
        <w:t>瞬态和稳态高热负荷协同实验采用水冷模块考核面向等离子体材料的耐高热负荷性能。瞬态热负荷主要模拟边缘局域模，单次持续时间</w:t>
      </w:r>
      <w:r>
        <w:rPr>
          <w:rFonts w:ascii="Times New Roman" w:hint="eastAsia"/>
        </w:rPr>
        <w:t>不低于</w:t>
      </w:r>
      <w:r>
        <w:rPr>
          <w:rFonts w:ascii="Times New Roman" w:hint="eastAsia"/>
        </w:rPr>
        <w:t>0</w:t>
      </w:r>
      <w:r>
        <w:rPr>
          <w:rFonts w:ascii="Times New Roman"/>
        </w:rPr>
        <w:t>.2ms</w:t>
      </w:r>
      <w:r>
        <w:rPr>
          <w:rFonts w:ascii="Times New Roman" w:hint="eastAsia"/>
        </w:rPr>
        <w:t>（建议</w:t>
      </w:r>
      <w:r>
        <w:rPr>
          <w:rFonts w:ascii="Times New Roman"/>
        </w:rPr>
        <w:t>0.5ms</w:t>
      </w:r>
      <w:r>
        <w:rPr>
          <w:rFonts w:ascii="Times New Roman" w:hint="eastAsia"/>
        </w:rPr>
        <w:t>）</w:t>
      </w:r>
      <w:r>
        <w:rPr>
          <w:rFonts w:ascii="Times New Roman"/>
        </w:rPr>
        <w:t>，脉冲循环次数</w:t>
      </w:r>
      <w:r>
        <w:rPr>
          <w:rFonts w:ascii="Times New Roman"/>
        </w:rPr>
        <w:t xml:space="preserve"> </w:t>
      </w:r>
      <w:r>
        <w:rPr>
          <w:rFonts w:ascii="Times New Roman" w:hint="eastAsia"/>
        </w:rPr>
        <w:t>不低于</w:t>
      </w:r>
      <w:r>
        <w:rPr>
          <w:rFonts w:ascii="Times New Roman" w:hint="eastAsia"/>
        </w:rPr>
        <w:t>1</w:t>
      </w:r>
      <w:r>
        <w:rPr>
          <w:rFonts w:ascii="Times New Roman"/>
        </w:rPr>
        <w:t>0000</w:t>
      </w:r>
      <w:r>
        <w:rPr>
          <w:rFonts w:ascii="Times New Roman"/>
        </w:rPr>
        <w:t>次</w:t>
      </w:r>
      <w:r>
        <w:rPr>
          <w:rFonts w:ascii="Times New Roman" w:hint="eastAsia"/>
        </w:rPr>
        <w:t>（建议</w:t>
      </w:r>
      <w:r>
        <w:rPr>
          <w:rFonts w:ascii="Times New Roman"/>
        </w:rPr>
        <w:t>50000</w:t>
      </w:r>
      <w:r>
        <w:rPr>
          <w:rFonts w:ascii="Times New Roman" w:hint="eastAsia"/>
        </w:rPr>
        <w:t>次）</w:t>
      </w:r>
      <w:r>
        <w:rPr>
          <w:rFonts w:ascii="Times New Roman"/>
        </w:rPr>
        <w:t>，频率</w:t>
      </w:r>
      <w:r>
        <w:rPr>
          <w:rFonts w:ascii="Times New Roman" w:hint="eastAsia"/>
        </w:rPr>
        <w:t>为</w:t>
      </w:r>
      <w:r>
        <w:rPr>
          <w:rFonts w:ascii="Times New Roman"/>
        </w:rPr>
        <w:t>1-50Hz</w:t>
      </w:r>
      <w:r>
        <w:rPr>
          <w:rFonts w:ascii="Times New Roman" w:hint="eastAsia"/>
        </w:rPr>
        <w:t>（建议</w:t>
      </w:r>
      <w:r>
        <w:rPr>
          <w:rFonts w:ascii="Times New Roman" w:hint="eastAsia"/>
        </w:rPr>
        <w:t>2</w:t>
      </w:r>
      <w:r>
        <w:rPr>
          <w:rFonts w:ascii="Times New Roman"/>
        </w:rPr>
        <w:t>0</w:t>
      </w:r>
      <w:r>
        <w:rPr>
          <w:rFonts w:ascii="Times New Roman" w:hint="eastAsia"/>
        </w:rPr>
        <w:t>Hz</w:t>
      </w:r>
      <w:r>
        <w:rPr>
          <w:rFonts w:ascii="Times New Roman" w:hint="eastAsia"/>
        </w:rPr>
        <w:t>）</w:t>
      </w:r>
      <w:r>
        <w:rPr>
          <w:rFonts w:ascii="Times New Roman"/>
        </w:rPr>
        <w:t>；</w:t>
      </w:r>
    </w:p>
    <w:p w14:paraId="6A4372B1" w14:textId="77777777" w:rsidR="006D0CDE" w:rsidRDefault="00000000">
      <w:pPr>
        <w:pStyle w:val="affffff1"/>
        <w:ind w:firstLine="420"/>
        <w:rPr>
          <w:rFonts w:ascii="Times New Roman"/>
        </w:rPr>
      </w:pPr>
      <w:r>
        <w:rPr>
          <w:rFonts w:ascii="Times New Roman" w:hint="eastAsia"/>
        </w:rPr>
        <w:t>建议：高能焊接用电子枪加载面积：</w:t>
      </w:r>
      <w:r>
        <w:rPr>
          <w:rFonts w:ascii="Times New Roman" w:hint="eastAsia"/>
        </w:rPr>
        <w:t>(</w:t>
      </w:r>
      <w:r>
        <w:rPr>
          <w:rFonts w:ascii="Times New Roman"/>
        </w:rPr>
        <w:t>4</w:t>
      </w:r>
      <w:r>
        <w:rPr>
          <w:rFonts w:ascii="Times New Roman" w:hint="eastAsia"/>
        </w:rPr>
        <w:t xml:space="preserve">-6)mm </w:t>
      </w:r>
      <w:r>
        <w:rPr>
          <w:rFonts w:ascii="Times New Roman"/>
        </w:rPr>
        <w:t>×</w:t>
      </w:r>
      <w:r>
        <w:rPr>
          <w:rFonts w:ascii="Times New Roman" w:hint="eastAsia"/>
        </w:rPr>
        <w:t xml:space="preserve"> (</w:t>
      </w:r>
      <w:r>
        <w:rPr>
          <w:rFonts w:ascii="Times New Roman"/>
        </w:rPr>
        <w:t>4-6</w:t>
      </w:r>
      <w:r>
        <w:rPr>
          <w:rFonts w:ascii="Times New Roman" w:hint="eastAsia"/>
        </w:rPr>
        <w:t>)</w:t>
      </w:r>
      <w:r>
        <w:rPr>
          <w:rFonts w:ascii="Times New Roman"/>
        </w:rPr>
        <w:t>mm</w:t>
      </w:r>
      <w:r>
        <w:rPr>
          <w:rFonts w:ascii="Times New Roman" w:hint="eastAsia"/>
        </w:rPr>
        <w:t>；大功率熔炼枪加载面积的直径为电子束的直径（</w:t>
      </w:r>
      <w:r>
        <w:rPr>
          <w:rFonts w:ascii="Times New Roman"/>
        </w:rPr>
        <w:t>6-10mm</w:t>
      </w:r>
      <w:r>
        <w:rPr>
          <w:rFonts w:ascii="Times New Roman" w:hint="eastAsia"/>
        </w:rPr>
        <w:t>），采用电子束的半高宽区域为有效加载面积。</w:t>
      </w:r>
    </w:p>
    <w:p w14:paraId="3893DA17" w14:textId="77777777" w:rsidR="006D0CDE" w:rsidRDefault="00000000">
      <w:pPr>
        <w:pStyle w:val="affffff1"/>
        <w:ind w:firstLine="420"/>
        <w:rPr>
          <w:rFonts w:ascii="Times New Roman"/>
        </w:rPr>
      </w:pPr>
      <w:r>
        <w:rPr>
          <w:rFonts w:ascii="Times New Roman"/>
        </w:rPr>
        <w:t>稳态高热负荷加载面积为模块面向等离子体材料的整体表面；典型的电子束扫描轨迹如图</w:t>
      </w:r>
      <w:r>
        <w:rPr>
          <w:rFonts w:ascii="Times New Roman"/>
        </w:rPr>
        <w:t>4</w:t>
      </w:r>
      <w:r>
        <w:rPr>
          <w:rFonts w:ascii="Times New Roman"/>
        </w:rPr>
        <w:t>所示。实验过程中通过红外测温仪和红外热像仪监控水冷模块的表面温度；通过高速红外测温仪监控瞬态热负荷区域的温度变化；通过热电偶监测水冷模块的体温度以及界面温度；通过热电偶监测水冷模块的进出口水温变化。对于钨基面向等离子体材料，瞬态和稳态高热负荷协同实验的电子束吸收系数选择</w:t>
      </w:r>
      <w:r>
        <w:rPr>
          <w:rFonts w:ascii="Times New Roman"/>
        </w:rPr>
        <w:t>55%</w:t>
      </w:r>
      <w:r>
        <w:rPr>
          <w:rFonts w:ascii="Times New Roman"/>
        </w:rPr>
        <w:t>。</w:t>
      </w:r>
    </w:p>
    <w:p w14:paraId="1B228132" w14:textId="77777777" w:rsidR="006D0CDE" w:rsidRDefault="00000000">
      <w:pPr>
        <w:spacing w:line="240" w:lineRule="auto"/>
        <w:jc w:val="center"/>
        <w:rPr>
          <w:rFonts w:ascii="Times New Roman" w:hAnsi="Times New Roman"/>
        </w:rPr>
      </w:pPr>
      <w:r>
        <w:rPr>
          <w:rFonts w:ascii="Times New Roman" w:hAnsi="Times New Roman"/>
          <w:noProof/>
        </w:rPr>
        <w:lastRenderedPageBreak/>
        <w:drawing>
          <wp:inline distT="0" distB="0" distL="114300" distR="114300" wp14:anchorId="3843BF5C" wp14:editId="1A110E0E">
            <wp:extent cx="2696845" cy="222885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9"/>
                    <a:srcRect l="1236" t="2875" r="4580"/>
                    <a:stretch>
                      <a:fillRect/>
                    </a:stretch>
                  </pic:blipFill>
                  <pic:spPr>
                    <a:xfrm>
                      <a:off x="0" y="0"/>
                      <a:ext cx="2696845" cy="2228850"/>
                    </a:xfrm>
                    <a:prstGeom prst="rect">
                      <a:avLst/>
                    </a:prstGeom>
                    <a:noFill/>
                    <a:ln>
                      <a:noFill/>
                    </a:ln>
                  </pic:spPr>
                </pic:pic>
              </a:graphicData>
            </a:graphic>
          </wp:inline>
        </w:drawing>
      </w:r>
    </w:p>
    <w:p w14:paraId="15C310AA" w14:textId="77777777" w:rsidR="006D0CDE" w:rsidRDefault="00000000">
      <w:pPr>
        <w:spacing w:line="240" w:lineRule="auto"/>
        <w:jc w:val="center"/>
        <w:rPr>
          <w:rFonts w:ascii="Times New Roman" w:hAnsi="Times New Roman"/>
        </w:rPr>
      </w:pPr>
      <w:r>
        <w:rPr>
          <w:rFonts w:ascii="Times New Roman" w:hAnsi="Times New Roman"/>
        </w:rPr>
        <w:t>图</w:t>
      </w:r>
      <w:r>
        <w:rPr>
          <w:rFonts w:ascii="Times New Roman" w:hAnsi="Times New Roman"/>
        </w:rPr>
        <w:t xml:space="preserve">4 </w:t>
      </w:r>
      <w:r>
        <w:rPr>
          <w:rFonts w:ascii="Times New Roman" w:hAnsi="Times New Roman"/>
        </w:rPr>
        <w:t>瞬态和稳态高热负荷协同实验的电子束扫描轨迹</w:t>
      </w:r>
    </w:p>
    <w:p w14:paraId="776317C1" w14:textId="77777777" w:rsidR="006D0CDE" w:rsidRDefault="006D0CDE">
      <w:pPr>
        <w:pStyle w:val="affffff1"/>
        <w:ind w:firstLine="420"/>
      </w:pPr>
    </w:p>
    <w:p w14:paraId="2F934AB0" w14:textId="77777777" w:rsidR="006D0CDE" w:rsidRDefault="006D0CDE">
      <w:pPr>
        <w:widowControl/>
        <w:autoSpaceDE w:val="0"/>
        <w:autoSpaceDN w:val="0"/>
        <w:adjustRightInd/>
        <w:spacing w:line="240" w:lineRule="auto"/>
        <w:ind w:firstLineChars="200" w:firstLine="420"/>
        <w:rPr>
          <w:rFonts w:ascii="Times New Roman" w:hAnsi="Times New Roman"/>
          <w:kern w:val="0"/>
          <w:szCs w:val="20"/>
        </w:rPr>
      </w:pPr>
    </w:p>
    <w:p w14:paraId="40A51A47" w14:textId="77777777" w:rsidR="006D0CDE" w:rsidRDefault="00000000">
      <w:pPr>
        <w:pStyle w:val="afff3"/>
        <w:spacing w:before="312" w:after="312"/>
        <w:rPr>
          <w:rFonts w:hAnsi="黑体" w:cs="黑体" w:hint="eastAsia"/>
        </w:rPr>
      </w:pPr>
      <w:bookmarkStart w:id="45" w:name="_Toc190356790"/>
      <w:bookmarkStart w:id="46" w:name="OLE_LINK5"/>
      <w:r>
        <w:rPr>
          <w:rFonts w:hAnsi="黑体" w:cs="黑体" w:hint="eastAsia"/>
        </w:rPr>
        <w:t>高热负荷测试过程</w:t>
      </w:r>
      <w:bookmarkEnd w:id="45"/>
      <w:bookmarkEnd w:id="46"/>
    </w:p>
    <w:p w14:paraId="18EDF58E" w14:textId="77777777" w:rsidR="006D0CDE" w:rsidRDefault="00000000">
      <w:pPr>
        <w:pStyle w:val="afff4"/>
        <w:spacing w:before="156" w:after="156"/>
        <w:rPr>
          <w:rFonts w:ascii="Times New Roman" w:eastAsia="宋体"/>
          <w:b/>
          <w:bCs/>
        </w:rPr>
      </w:pPr>
      <w:r>
        <w:rPr>
          <w:rFonts w:ascii="Times New Roman" w:eastAsia="宋体" w:hint="eastAsia"/>
          <w:b/>
          <w:bCs/>
        </w:rPr>
        <w:t>瞬态高热负荷测试</w:t>
      </w:r>
    </w:p>
    <w:p w14:paraId="7BF2014E" w14:textId="77777777" w:rsidR="006D0CDE" w:rsidRDefault="00000000">
      <w:pPr>
        <w:pStyle w:val="afff5"/>
        <w:spacing w:before="156" w:after="156"/>
        <w:rPr>
          <w:rFonts w:ascii="宋体" w:eastAsia="宋体" w:hAnsi="宋体" w:cs="宋体" w:hint="eastAsia"/>
          <w:b/>
          <w:bCs/>
        </w:rPr>
      </w:pPr>
      <w:r>
        <w:rPr>
          <w:rFonts w:ascii="宋体" w:eastAsia="宋体" w:hAnsi="宋体" w:cs="宋体" w:hint="eastAsia"/>
          <w:b/>
          <w:bCs/>
        </w:rPr>
        <w:t>测试前准备</w:t>
      </w:r>
    </w:p>
    <w:p w14:paraId="0E28FA6F" w14:textId="77777777" w:rsidR="006D0CDE" w:rsidRDefault="00000000">
      <w:pPr>
        <w:spacing w:line="240" w:lineRule="auto"/>
        <w:ind w:firstLineChars="200" w:firstLine="420"/>
        <w:rPr>
          <w:rFonts w:ascii="Times New Roman" w:hAnsi="Times New Roman"/>
        </w:rPr>
      </w:pPr>
      <w:r>
        <w:rPr>
          <w:rFonts w:ascii="Times New Roman" w:hAnsi="Times New Roman" w:hint="eastAsia"/>
        </w:rPr>
        <w:t>瞬态高热负荷</w:t>
      </w:r>
      <w:r>
        <w:rPr>
          <w:rFonts w:ascii="Times New Roman" w:hAnsi="Times New Roman"/>
        </w:rPr>
        <w:t>实验测试样品的制备过程如下：通过机加工方式将面向等离子体材料进行切割；</w:t>
      </w:r>
      <w:r>
        <w:rPr>
          <w:rFonts w:ascii="Times New Roman" w:hAnsi="Times New Roman" w:hint="eastAsia"/>
        </w:rPr>
        <w:t>材料的尺寸参考</w:t>
      </w:r>
      <w:r>
        <w:rPr>
          <w:rFonts w:ascii="Times New Roman" w:hAnsi="Times New Roman" w:hint="eastAsia"/>
        </w:rPr>
        <w:t xml:space="preserve">6.1 </w:t>
      </w:r>
      <w:r>
        <w:rPr>
          <w:rFonts w:ascii="Times New Roman" w:hAnsi="Times New Roman" w:hint="eastAsia"/>
        </w:rPr>
        <w:t>瞬态高热负荷实验。</w:t>
      </w:r>
      <w:r>
        <w:rPr>
          <w:rFonts w:ascii="Times New Roman" w:hAnsi="Times New Roman"/>
        </w:rPr>
        <w:t>利用</w:t>
      </w:r>
      <w:r>
        <w:rPr>
          <w:rFonts w:ascii="Times New Roman" w:hAnsi="Times New Roman"/>
        </w:rPr>
        <w:t>240-1200</w:t>
      </w:r>
      <w:r>
        <w:rPr>
          <w:rFonts w:ascii="Times New Roman" w:hAnsi="Times New Roman"/>
        </w:rPr>
        <w:t>号砂纸进行表面的机械磨光处理，再用金刚砂抛光膏进行抛光，制备成为无表面缺陷的样品。</w:t>
      </w:r>
    </w:p>
    <w:p w14:paraId="551C39C8" w14:textId="77777777" w:rsidR="006D0CDE" w:rsidRDefault="00000000">
      <w:pPr>
        <w:spacing w:line="240" w:lineRule="auto"/>
        <w:ind w:firstLineChars="200" w:firstLine="420"/>
        <w:rPr>
          <w:rFonts w:ascii="Times New Roman" w:hAnsi="Times New Roman"/>
        </w:rPr>
      </w:pPr>
      <w:r>
        <w:rPr>
          <w:rFonts w:ascii="Times New Roman" w:hAnsi="Times New Roman"/>
        </w:rPr>
        <w:t>测试样品安装：对于室温实验，将测试样品安装在水冷铜靶上，利用螺钉和夹具将样品固定，保持样品与水冷铜靶充分接触；调节水冷铜靶的冷却水温度，以确保达到实验的测试要求。对于加热实验，将将测试样品安装在真空室内用加热炉内，利用螺钉和夹具将样品固定，保持样品与加热炉的样品台充分接触；实验过程中样品台与加热炉的加热体进行绝缘。必须保证测试材料处于电子束可扫描区域，材料的测试区域还需要同时处于热像仪和监控相机等设备的可观测区域之内。</w:t>
      </w:r>
    </w:p>
    <w:p w14:paraId="36E1961B" w14:textId="77777777" w:rsidR="006D0CDE" w:rsidRDefault="00000000">
      <w:pPr>
        <w:pStyle w:val="affffff1"/>
        <w:ind w:firstLine="420"/>
        <w:rPr>
          <w:rFonts w:ascii="Times New Roman"/>
        </w:rPr>
      </w:pPr>
      <w:r>
        <w:rPr>
          <w:rFonts w:ascii="Times New Roman"/>
        </w:rPr>
        <w:t>红外测温设备和热电偶准备：高速红外测温仪需对准瞬态热负荷区域的中心部位；热电偶与测试材料接触，用于记录材料的温度变化；热电偶与加热炉的样品台接触；开启数据采集系统，用于实验过程的数据记录。</w:t>
      </w:r>
    </w:p>
    <w:p w14:paraId="07486B98" w14:textId="77777777" w:rsidR="006D0CDE" w:rsidRDefault="00000000">
      <w:pPr>
        <w:pStyle w:val="afff5"/>
        <w:spacing w:before="156" w:after="156"/>
        <w:rPr>
          <w:rFonts w:ascii="宋体" w:eastAsia="宋体" w:hAnsi="宋体" w:cs="宋体" w:hint="eastAsia"/>
          <w:b/>
          <w:bCs/>
        </w:rPr>
      </w:pPr>
      <w:r>
        <w:rPr>
          <w:rFonts w:ascii="宋体" w:eastAsia="宋体" w:hAnsi="宋体" w:cs="宋体" w:hint="eastAsia"/>
          <w:b/>
          <w:bCs/>
        </w:rPr>
        <w:t>测试过程</w:t>
      </w:r>
    </w:p>
    <w:p w14:paraId="00545B46" w14:textId="77777777" w:rsidR="006D0CDE" w:rsidRDefault="00000000">
      <w:pPr>
        <w:spacing w:line="240" w:lineRule="auto"/>
        <w:ind w:firstLine="420"/>
        <w:rPr>
          <w:rFonts w:ascii="Times New Roman" w:hAnsi="Times New Roman"/>
        </w:rPr>
      </w:pPr>
      <w:r>
        <w:rPr>
          <w:rFonts w:ascii="Times New Roman" w:hAnsi="Times New Roman"/>
        </w:rPr>
        <w:t>根据电子束高热负荷实验设备的操作规程进行操作，确保屏蔽门关闭以及屏蔽门与电子枪之间的安全互锁。</w:t>
      </w:r>
    </w:p>
    <w:p w14:paraId="3F3E309F" w14:textId="77777777" w:rsidR="006D0CDE" w:rsidRDefault="00000000">
      <w:pPr>
        <w:spacing w:line="240" w:lineRule="auto"/>
        <w:ind w:firstLine="420"/>
        <w:rPr>
          <w:rFonts w:ascii="Times New Roman" w:hAnsi="Times New Roman"/>
        </w:rPr>
      </w:pPr>
      <w:r>
        <w:rPr>
          <w:rFonts w:ascii="Times New Roman" w:hAnsi="Times New Roman"/>
        </w:rPr>
        <w:t>选取电子束扫描加载图形，对测试样品的实验区域进行瞬态热负荷实验；根据</w:t>
      </w:r>
      <w:r>
        <w:rPr>
          <w:rFonts w:ascii="Times New Roman" w:hAnsi="Times New Roman" w:hint="eastAsia"/>
        </w:rPr>
        <w:t>本轮次</w:t>
      </w:r>
      <w:r>
        <w:rPr>
          <w:rFonts w:ascii="Times New Roman" w:hAnsi="Times New Roman"/>
        </w:rPr>
        <w:t>实验</w:t>
      </w:r>
      <w:r>
        <w:rPr>
          <w:rFonts w:ascii="Times New Roman" w:hAnsi="Times New Roman" w:hint="eastAsia"/>
        </w:rPr>
        <w:t>要求选择实验</w:t>
      </w:r>
      <w:r>
        <w:rPr>
          <w:rFonts w:ascii="Times New Roman" w:hAnsi="Times New Roman"/>
        </w:rPr>
        <w:t>参数，选择合适的扫描面积、电子束持续时间以及冷却时间、扫描次数等。</w:t>
      </w:r>
    </w:p>
    <w:p w14:paraId="4FDC1356" w14:textId="77777777" w:rsidR="006D0CDE" w:rsidRDefault="00000000">
      <w:pPr>
        <w:pStyle w:val="affffff1"/>
        <w:ind w:firstLine="420"/>
      </w:pPr>
      <w:r>
        <w:rPr>
          <w:rFonts w:ascii="Times New Roman"/>
        </w:rPr>
        <w:t>实验过程中，通过采集系统记录实验过程中的真空、温度等数据；通过高速红外测温仪记录实验区域的温度变化，并通过高速红外测温仪确认</w:t>
      </w:r>
      <w:r>
        <w:rPr>
          <w:rFonts w:ascii="Times New Roman" w:hint="eastAsia"/>
        </w:rPr>
        <w:t>瞬态高热负荷</w:t>
      </w:r>
      <w:r>
        <w:rPr>
          <w:rFonts w:ascii="Times New Roman"/>
        </w:rPr>
        <w:t>的实验次数</w:t>
      </w:r>
      <w:r>
        <w:rPr>
          <w:rFonts w:ascii="Times New Roman" w:hint="eastAsia"/>
        </w:rPr>
        <w:t>。</w:t>
      </w:r>
    </w:p>
    <w:p w14:paraId="48DEAEB9" w14:textId="77777777" w:rsidR="006D0CDE" w:rsidRDefault="006D0CDE">
      <w:pPr>
        <w:pStyle w:val="affffff1"/>
        <w:ind w:firstLine="420"/>
      </w:pPr>
    </w:p>
    <w:bookmarkEnd w:id="14"/>
    <w:p w14:paraId="21E1B8F0" w14:textId="77777777" w:rsidR="006D0CDE" w:rsidRDefault="00000000">
      <w:pPr>
        <w:pStyle w:val="afff4"/>
        <w:spacing w:before="156" w:after="156"/>
        <w:rPr>
          <w:rFonts w:ascii="Times New Roman" w:eastAsia="宋体"/>
          <w:b/>
          <w:bCs/>
        </w:rPr>
      </w:pPr>
      <w:r>
        <w:rPr>
          <w:rFonts w:ascii="Times New Roman" w:eastAsia="宋体"/>
          <w:b/>
          <w:bCs/>
        </w:rPr>
        <w:lastRenderedPageBreak/>
        <w:t>稳态高热负荷</w:t>
      </w:r>
      <w:r>
        <w:rPr>
          <w:rFonts w:ascii="Times New Roman" w:eastAsia="宋体" w:hint="eastAsia"/>
          <w:b/>
          <w:bCs/>
        </w:rPr>
        <w:t>测试</w:t>
      </w:r>
    </w:p>
    <w:p w14:paraId="6B809ED5" w14:textId="77777777" w:rsidR="006D0CDE" w:rsidRDefault="00000000">
      <w:pPr>
        <w:pStyle w:val="afff5"/>
        <w:spacing w:before="156" w:after="156"/>
        <w:rPr>
          <w:rFonts w:ascii="宋体" w:eastAsia="宋体" w:hAnsi="宋体" w:cs="宋体" w:hint="eastAsia"/>
          <w:b/>
          <w:bCs/>
        </w:rPr>
      </w:pPr>
      <w:r>
        <w:rPr>
          <w:rFonts w:ascii="宋体" w:eastAsia="宋体" w:hAnsi="宋体" w:cs="宋体" w:hint="eastAsia"/>
          <w:b/>
          <w:bCs/>
        </w:rPr>
        <w:t>测试前准备</w:t>
      </w:r>
    </w:p>
    <w:p w14:paraId="405A54CE" w14:textId="77777777" w:rsidR="006D0CDE" w:rsidRDefault="00000000">
      <w:pPr>
        <w:pStyle w:val="affffff1"/>
        <w:ind w:firstLine="420"/>
        <w:rPr>
          <w:rFonts w:ascii="Times New Roman"/>
        </w:rPr>
      </w:pPr>
      <w:r>
        <w:rPr>
          <w:rFonts w:ascii="Times New Roman"/>
        </w:rPr>
        <w:t>稳态高热负荷实验所用测试样品为水冷模块。水冷模块通过焊接方法制备，需要对水冷模块进行如下检测：目视检测，参考</w:t>
      </w:r>
      <w:r>
        <w:rPr>
          <w:rFonts w:ascii="Times New Roman"/>
        </w:rPr>
        <w:t>GB/T 20967</w:t>
      </w:r>
      <w:r>
        <w:rPr>
          <w:rFonts w:ascii="Times New Roman"/>
        </w:rPr>
        <w:t>；尺寸检测，参考</w:t>
      </w:r>
      <w:r>
        <w:rPr>
          <w:rFonts w:ascii="Times New Roman"/>
        </w:rPr>
        <w:t>GB/T 40810.1</w:t>
      </w:r>
      <w:r>
        <w:rPr>
          <w:rFonts w:ascii="Times New Roman"/>
        </w:rPr>
        <w:t>；超声检测，参考</w:t>
      </w:r>
      <w:r>
        <w:rPr>
          <w:rFonts w:ascii="Times New Roman"/>
          <w:szCs w:val="22"/>
        </w:rPr>
        <w:t>GB/T 32563</w:t>
      </w:r>
      <w:r>
        <w:rPr>
          <w:rFonts w:ascii="Times New Roman"/>
          <w:szCs w:val="22"/>
        </w:rPr>
        <w:t>；</w:t>
      </w:r>
      <w:r>
        <w:rPr>
          <w:rFonts w:ascii="Times New Roman"/>
        </w:rPr>
        <w:t>水压或者气压测试，参考</w:t>
      </w:r>
      <w:r>
        <w:rPr>
          <w:rFonts w:ascii="Times New Roman"/>
          <w:szCs w:val="22"/>
        </w:rPr>
        <w:t>GB/T150.4</w:t>
      </w:r>
      <w:r>
        <w:rPr>
          <w:rFonts w:ascii="Times New Roman"/>
        </w:rPr>
        <w:t>。对水冷模块的面向等离子体材料表面进行预处理，表面可以为机械研磨或者砂纸打磨表面，表面粗糙度小于</w:t>
      </w:r>
      <w:r>
        <w:rPr>
          <w:rFonts w:ascii="Times New Roman"/>
        </w:rPr>
        <w:t>1.2</w:t>
      </w:r>
      <w:r>
        <w:rPr>
          <w:rFonts w:ascii="Times New Roman"/>
        </w:rPr>
        <w:t>；并确保表面无缺陷以及杂质。</w:t>
      </w:r>
    </w:p>
    <w:p w14:paraId="64742D63" w14:textId="77777777" w:rsidR="006D0CDE" w:rsidRDefault="00000000">
      <w:pPr>
        <w:spacing w:line="240" w:lineRule="auto"/>
        <w:ind w:firstLineChars="200" w:firstLine="420"/>
        <w:rPr>
          <w:rFonts w:ascii="Times New Roman" w:hAnsi="Times New Roman"/>
        </w:rPr>
      </w:pPr>
      <w:r>
        <w:rPr>
          <w:rFonts w:ascii="Times New Roman" w:hAnsi="Times New Roman"/>
        </w:rPr>
        <w:t>测试样品安装：将水冷模块的冷却水进出口与高热负荷设备对应的冷却水进出对接，确保连接处密封；必须保证水冷模块处于电子束可扫描区域、热像仪和监控相机等设备的可观测区域之内；待测面应尽量处于水平状态；对于大功率熔炼枪，建议采用水冷铜板遮挡保护</w:t>
      </w:r>
      <w:r>
        <w:rPr>
          <w:rFonts w:ascii="Times New Roman" w:hAnsi="Times New Roman" w:hint="eastAsia"/>
        </w:rPr>
        <w:t>模块</w:t>
      </w:r>
      <w:r>
        <w:rPr>
          <w:rFonts w:ascii="Times New Roman" w:hAnsi="Times New Roman"/>
        </w:rPr>
        <w:t>目标测试区域边缘，挡板与模块均需固定，且二者表面不可接触。水冷模块安装完成后，需通水确保水冷模块与高热负荷设备冷却水管连接处无渗漏；</w:t>
      </w:r>
      <w:r>
        <w:rPr>
          <w:rFonts w:ascii="Times New Roman" w:hAnsi="Times New Roman"/>
          <w:kern w:val="0"/>
          <w:szCs w:val="20"/>
        </w:rPr>
        <w:t>调节冷却水流量、压力和入口温度达到测试要求。</w:t>
      </w:r>
    </w:p>
    <w:p w14:paraId="57FE24E7" w14:textId="77777777" w:rsidR="006D0CDE" w:rsidRDefault="00000000">
      <w:pPr>
        <w:pStyle w:val="affffff1"/>
        <w:ind w:firstLine="420"/>
        <w:rPr>
          <w:rFonts w:ascii="Times New Roman"/>
        </w:rPr>
      </w:pPr>
      <w:r>
        <w:rPr>
          <w:rFonts w:ascii="Times New Roman"/>
        </w:rPr>
        <w:t>红外测温设备和热电偶准备：红外热像仪需对准水冷模块，确保红外热像仪的视场能覆盖水冷模块；红外测温仪需对准水冷模块的目标区域；热电偶与水冷漠块测试区域接触；开启数据采集系统，用于实验过程的数据记录。</w:t>
      </w:r>
    </w:p>
    <w:p w14:paraId="4BDA8803" w14:textId="77777777" w:rsidR="006D0CDE" w:rsidRDefault="00000000">
      <w:pPr>
        <w:pStyle w:val="afff5"/>
        <w:spacing w:before="156" w:after="156"/>
        <w:rPr>
          <w:rFonts w:ascii="宋体" w:eastAsia="宋体" w:hAnsi="宋体" w:cs="宋体" w:hint="eastAsia"/>
          <w:b/>
          <w:bCs/>
        </w:rPr>
      </w:pPr>
      <w:r>
        <w:rPr>
          <w:rFonts w:ascii="宋体" w:eastAsia="宋体" w:hAnsi="宋体" w:cs="宋体" w:hint="eastAsia"/>
          <w:b/>
          <w:bCs/>
        </w:rPr>
        <w:t>测试过程</w:t>
      </w:r>
    </w:p>
    <w:p w14:paraId="19A0A99E" w14:textId="77777777" w:rsidR="006D0CDE" w:rsidRDefault="00000000">
      <w:pPr>
        <w:spacing w:line="240" w:lineRule="auto"/>
        <w:ind w:firstLine="420"/>
        <w:rPr>
          <w:rFonts w:ascii="Times New Roman" w:hAnsi="Times New Roman"/>
        </w:rPr>
      </w:pPr>
      <w:r>
        <w:rPr>
          <w:rFonts w:ascii="Times New Roman" w:hAnsi="Times New Roman"/>
        </w:rPr>
        <w:t>根据电子束高热负荷实验设备的操作规程进行操作，确保屏蔽门关闭以及屏蔽门与电子枪之间的安全互锁。</w:t>
      </w:r>
    </w:p>
    <w:p w14:paraId="4397D3A9" w14:textId="77777777" w:rsidR="006D0CDE" w:rsidRDefault="00000000">
      <w:pPr>
        <w:spacing w:line="240" w:lineRule="auto"/>
        <w:ind w:firstLine="420"/>
        <w:rPr>
          <w:rFonts w:ascii="Times New Roman" w:hAnsi="Times New Roman"/>
        </w:rPr>
      </w:pPr>
      <w:r>
        <w:rPr>
          <w:rFonts w:ascii="Times New Roman" w:hAnsi="Times New Roman"/>
        </w:rPr>
        <w:t>选取电子束扫描加载图形，对测试样品的实验区域进行瞬态热负荷实验；根据实验参数，选择合适的扫描面积、电子束持续时间以及冷却时间、扫描次数等。根据</w:t>
      </w:r>
      <w:r>
        <w:rPr>
          <w:rFonts w:ascii="Times New Roman" w:hAnsi="Times New Roman"/>
        </w:rPr>
        <w:t xml:space="preserve">8.2 </w:t>
      </w:r>
      <w:r>
        <w:rPr>
          <w:rFonts w:ascii="Times New Roman" w:hAnsi="Times New Roman"/>
        </w:rPr>
        <w:t>稳态高热负荷实验加载筛选实验和热疲劳实验。开启电子束，在低功率下聚焦电子束，调整扫描区域位置和大小，使其完全覆盖测试区域；确保水冷漠块的传热效果。</w:t>
      </w:r>
    </w:p>
    <w:p w14:paraId="329FDC41" w14:textId="77777777" w:rsidR="006D0CDE" w:rsidRDefault="00000000">
      <w:pPr>
        <w:spacing w:line="240" w:lineRule="auto"/>
        <w:ind w:firstLine="420"/>
        <w:rPr>
          <w:rFonts w:ascii="Times New Roman" w:hAnsi="Times New Roman"/>
        </w:rPr>
      </w:pPr>
      <w:r>
        <w:rPr>
          <w:rFonts w:ascii="Times New Roman" w:hAnsi="Times New Roman"/>
        </w:rPr>
        <w:t>实验过程中，通过采集系统记录实验过程中的真空、温度、水压等数据；通过红外测温仪记录实验区域的温度变化，并通过红外热像仪记录实验过程中水冷模块的的表面温度变化。</w:t>
      </w:r>
    </w:p>
    <w:p w14:paraId="39D165A2" w14:textId="77777777" w:rsidR="006D0CDE" w:rsidRDefault="00000000">
      <w:pPr>
        <w:spacing w:line="240" w:lineRule="auto"/>
        <w:ind w:firstLine="420"/>
        <w:rPr>
          <w:rFonts w:ascii="Times New Roman" w:hAnsi="Times New Roman"/>
        </w:rPr>
      </w:pPr>
      <w:r>
        <w:rPr>
          <w:rFonts w:ascii="Times New Roman" w:hAnsi="Times New Roman"/>
        </w:rPr>
        <w:t>筛选实验：筛选实验的电子束加载需要使水冷模块达到热平衡，建议筛选实验的电子束扫描持续时间不低于</w:t>
      </w:r>
      <w:r>
        <w:rPr>
          <w:rFonts w:ascii="Times New Roman" w:hAnsi="Times New Roman"/>
        </w:rPr>
        <w:t>30s</w:t>
      </w:r>
      <w:r>
        <w:rPr>
          <w:rFonts w:ascii="Times New Roman" w:hAnsi="Times New Roman"/>
        </w:rPr>
        <w:t>；根据实验要求，需逐渐提高电子束功率，建议每一步的的吸收功率密度增加</w:t>
      </w:r>
      <w:r>
        <w:rPr>
          <w:rFonts w:ascii="Times New Roman" w:hAnsi="Times New Roman"/>
        </w:rPr>
        <w:t>0.5-1MW/m</w:t>
      </w:r>
      <w:r>
        <w:rPr>
          <w:rFonts w:ascii="Times New Roman" w:hAnsi="Times New Roman"/>
          <w:vertAlign w:val="superscript"/>
        </w:rPr>
        <w:t>2</w:t>
      </w:r>
      <w:r>
        <w:rPr>
          <w:rFonts w:ascii="Times New Roman" w:hAnsi="Times New Roman"/>
        </w:rPr>
        <w:t>；建议筛选实验的循环次数为</w:t>
      </w:r>
      <w:r>
        <w:rPr>
          <w:rFonts w:ascii="Times New Roman" w:hAnsi="Times New Roman"/>
        </w:rPr>
        <w:t>1-5</w:t>
      </w:r>
      <w:r>
        <w:rPr>
          <w:rFonts w:ascii="Times New Roman" w:hAnsi="Times New Roman"/>
        </w:rPr>
        <w:t>次；水冷模块通过筛选实验后才能进行热疲劳测试。筛选实验过程中采用热像仪观察并记录</w:t>
      </w:r>
      <w:r>
        <w:rPr>
          <w:rFonts w:ascii="Times New Roman" w:hAnsi="Times New Roman" w:hint="eastAsia"/>
        </w:rPr>
        <w:t>模块</w:t>
      </w:r>
      <w:r>
        <w:rPr>
          <w:rFonts w:ascii="Times New Roman" w:hAnsi="Times New Roman"/>
        </w:rPr>
        <w:t>表面温度分布数据，密切观察</w:t>
      </w:r>
      <w:r>
        <w:rPr>
          <w:rFonts w:ascii="Times New Roman" w:hAnsi="Times New Roman" w:hint="eastAsia"/>
        </w:rPr>
        <w:t>模块</w:t>
      </w:r>
      <w:r>
        <w:rPr>
          <w:rFonts w:ascii="Times New Roman" w:hAnsi="Times New Roman"/>
        </w:rPr>
        <w:t>表面温度情况，</w:t>
      </w:r>
      <w:r>
        <w:rPr>
          <w:rFonts w:ascii="Times New Roman" w:hAnsi="Times New Roman" w:hint="eastAsia"/>
        </w:rPr>
        <w:t>模块</w:t>
      </w:r>
      <w:r>
        <w:rPr>
          <w:rFonts w:ascii="Times New Roman" w:hAnsi="Times New Roman"/>
        </w:rPr>
        <w:t>表面出现不可接受热斑或整体过热均需要暂停测试，通过分析后确认是否进行下一步实验。</w:t>
      </w:r>
    </w:p>
    <w:p w14:paraId="3134BE49" w14:textId="77777777" w:rsidR="006D0CDE" w:rsidRDefault="00000000">
      <w:pPr>
        <w:spacing w:line="240" w:lineRule="auto"/>
        <w:ind w:firstLine="420"/>
        <w:rPr>
          <w:rFonts w:ascii="Times New Roman" w:hAnsi="Times New Roman"/>
        </w:rPr>
      </w:pPr>
      <w:r>
        <w:rPr>
          <w:rFonts w:ascii="Times New Roman" w:hAnsi="Times New Roman"/>
        </w:rPr>
        <w:t>热疲劳实验：对经过筛选实验的水冷模块进行热疲劳实验，根据实验要求固定吸收功率密度。对于面向等离子体材料稳态高热负荷实验，建议吸收功率密度范围为</w:t>
      </w:r>
      <w:r>
        <w:rPr>
          <w:rFonts w:ascii="Times New Roman" w:hAnsi="Times New Roman"/>
        </w:rPr>
        <w:t>10-25 MW/m</w:t>
      </w:r>
      <w:r>
        <w:rPr>
          <w:rFonts w:ascii="Times New Roman" w:hAnsi="Times New Roman"/>
          <w:vertAlign w:val="superscript"/>
        </w:rPr>
        <w:t>2</w:t>
      </w:r>
      <w:r>
        <w:rPr>
          <w:rFonts w:ascii="Times New Roman" w:hAnsi="Times New Roman"/>
        </w:rPr>
        <w:t>，电子束扫描持续时间不低于</w:t>
      </w:r>
      <w:r>
        <w:rPr>
          <w:rFonts w:ascii="Times New Roman" w:hAnsi="Times New Roman"/>
        </w:rPr>
        <w:t>10s</w:t>
      </w:r>
      <w:r>
        <w:rPr>
          <w:rFonts w:ascii="Times New Roman" w:hAnsi="Times New Roman"/>
        </w:rPr>
        <w:t>，循环次数不低于</w:t>
      </w:r>
      <w:r>
        <w:rPr>
          <w:rFonts w:ascii="Times New Roman" w:hAnsi="Times New Roman"/>
        </w:rPr>
        <w:t>100</w:t>
      </w:r>
      <w:r>
        <w:rPr>
          <w:rFonts w:ascii="Times New Roman" w:hAnsi="Times New Roman"/>
        </w:rPr>
        <w:t>次。每隔一定循环次数采用红外热像仪、数据采集系统记录水冷模块在实验过程中的温度变化，关注</w:t>
      </w:r>
      <w:r>
        <w:rPr>
          <w:rFonts w:ascii="Times New Roman" w:hAnsi="Times New Roman" w:hint="eastAsia"/>
        </w:rPr>
        <w:t>模块</w:t>
      </w:r>
      <w:r>
        <w:rPr>
          <w:rFonts w:ascii="Times New Roman" w:hAnsi="Times New Roman"/>
        </w:rPr>
        <w:t>表面最高温度随循环次数的变化，当出现不可接受的热斑或整体过热时均需暂停测试，通过分析后确认是否进行后续的循环实验。</w:t>
      </w:r>
    </w:p>
    <w:p w14:paraId="4F74C678" w14:textId="77777777" w:rsidR="006D0CDE" w:rsidRDefault="006D0CDE">
      <w:pPr>
        <w:pStyle w:val="affffff1"/>
        <w:ind w:firstLine="420"/>
      </w:pPr>
    </w:p>
    <w:p w14:paraId="4DEEBC2A" w14:textId="77777777" w:rsidR="006D0CDE" w:rsidRDefault="00000000">
      <w:pPr>
        <w:pStyle w:val="afff4"/>
        <w:spacing w:before="156" w:after="156"/>
        <w:rPr>
          <w:rFonts w:ascii="Times New Roman" w:eastAsia="宋体"/>
          <w:b/>
          <w:bCs/>
        </w:rPr>
      </w:pPr>
      <w:r>
        <w:rPr>
          <w:rFonts w:ascii="Times New Roman" w:eastAsia="宋体"/>
          <w:b/>
          <w:bCs/>
        </w:rPr>
        <w:t>瞬态和稳态高热负荷协同</w:t>
      </w:r>
      <w:r>
        <w:rPr>
          <w:rFonts w:ascii="Times New Roman" w:eastAsia="宋体" w:hint="eastAsia"/>
          <w:b/>
          <w:bCs/>
        </w:rPr>
        <w:t>测试</w:t>
      </w:r>
    </w:p>
    <w:p w14:paraId="5AB5778A" w14:textId="77777777" w:rsidR="006D0CDE" w:rsidRDefault="00000000">
      <w:pPr>
        <w:pStyle w:val="affffff1"/>
        <w:ind w:firstLine="420"/>
      </w:pPr>
      <w:r>
        <w:rPr>
          <w:rFonts w:hint="eastAsia"/>
        </w:rPr>
        <w:t>测试前准备和实验过程与稳态高热负荷实验一致，参考8.2。</w:t>
      </w:r>
    </w:p>
    <w:p w14:paraId="7EB7D2A1" w14:textId="77777777" w:rsidR="006D0CDE" w:rsidRDefault="006D0CDE">
      <w:pPr>
        <w:pStyle w:val="affffff1"/>
        <w:ind w:firstLineChars="0" w:firstLine="0"/>
      </w:pPr>
    </w:p>
    <w:p w14:paraId="6D186119" w14:textId="77777777" w:rsidR="006D0CDE" w:rsidRDefault="00000000">
      <w:pPr>
        <w:pStyle w:val="afff3"/>
        <w:spacing w:before="312" w:after="312"/>
        <w:rPr>
          <w:rFonts w:hAnsi="黑体" w:cs="黑体" w:hint="eastAsia"/>
        </w:rPr>
      </w:pPr>
      <w:bookmarkStart w:id="47" w:name="_Toc190356791"/>
      <w:r>
        <w:rPr>
          <w:rFonts w:hAnsi="黑体" w:cs="黑体" w:hint="eastAsia"/>
        </w:rPr>
        <w:lastRenderedPageBreak/>
        <w:t>高热负荷测试后分析</w:t>
      </w:r>
      <w:bookmarkEnd w:id="47"/>
    </w:p>
    <w:p w14:paraId="5B51EA9A" w14:textId="77777777" w:rsidR="006D0CDE" w:rsidRDefault="00000000">
      <w:pPr>
        <w:pStyle w:val="afff4"/>
        <w:spacing w:before="156" w:after="156"/>
        <w:rPr>
          <w:rFonts w:ascii="Times New Roman" w:eastAsia="宋体"/>
          <w:b/>
          <w:bCs/>
        </w:rPr>
      </w:pPr>
      <w:bookmarkStart w:id="48" w:name="OLE_LINK6"/>
      <w:r>
        <w:rPr>
          <w:rFonts w:ascii="Times New Roman" w:eastAsia="宋体"/>
          <w:b/>
          <w:bCs/>
        </w:rPr>
        <w:t>面向等离子体材料的分析</w:t>
      </w:r>
    </w:p>
    <w:bookmarkEnd w:id="48"/>
    <w:p w14:paraId="70A1ECC9" w14:textId="77777777" w:rsidR="006D0CDE" w:rsidRDefault="00000000">
      <w:pPr>
        <w:pStyle w:val="affffff1"/>
        <w:ind w:firstLine="420"/>
        <w:rPr>
          <w:rFonts w:ascii="Times New Roman"/>
        </w:rPr>
      </w:pPr>
      <w:r>
        <w:rPr>
          <w:rFonts w:ascii="Times New Roman"/>
        </w:rPr>
        <w:t>需要对电子束瞬态和稳态高热负荷实验后的面向等离子体材料进行分析，主要的分析测试内容如下：</w:t>
      </w:r>
    </w:p>
    <w:p w14:paraId="0F05C8DE" w14:textId="77777777" w:rsidR="006D0CDE" w:rsidRDefault="00000000">
      <w:pPr>
        <w:pStyle w:val="affffff1"/>
        <w:numPr>
          <w:ilvl w:val="0"/>
          <w:numId w:val="33"/>
        </w:numPr>
        <w:ind w:firstLine="420"/>
        <w:rPr>
          <w:rFonts w:ascii="Times New Roman"/>
        </w:rPr>
      </w:pPr>
      <w:r>
        <w:rPr>
          <w:rFonts w:ascii="Times New Roman"/>
        </w:rPr>
        <w:t>表面形貌和组织分析：利用表面轮廓仪、金相显微镜和扫描电镜对高热负荷区域的表面形貌变化进行分析，如实验前后的表面粗糙度变化、表面的熔化状态、裂纹的形态和密度、表面再结晶区域及深度等</w:t>
      </w:r>
    </w:p>
    <w:p w14:paraId="6BF7AB36" w14:textId="77777777" w:rsidR="006D0CDE" w:rsidRDefault="00000000">
      <w:pPr>
        <w:pStyle w:val="affffff1"/>
        <w:ind w:firstLine="420"/>
      </w:pPr>
      <w:r>
        <w:rPr>
          <w:rFonts w:ascii="Times New Roman"/>
        </w:rPr>
        <w:t>材料的力学性能：通过硬度计、万能试验机对高热负荷区域的硬度、强度、塑性等进行分析</w:t>
      </w:r>
      <w:r>
        <w:rPr>
          <w:rFonts w:ascii="Times New Roman" w:hint="eastAsia"/>
        </w:rPr>
        <w:t>。</w:t>
      </w:r>
    </w:p>
    <w:p w14:paraId="17702A29" w14:textId="77777777" w:rsidR="006D0CDE" w:rsidRDefault="006D0CDE">
      <w:pPr>
        <w:pStyle w:val="affffff1"/>
        <w:ind w:firstLineChars="0" w:firstLine="0"/>
      </w:pPr>
    </w:p>
    <w:p w14:paraId="450E1DF8" w14:textId="77777777" w:rsidR="006D0CDE" w:rsidRDefault="00000000">
      <w:pPr>
        <w:pStyle w:val="afff4"/>
        <w:spacing w:before="156" w:after="156"/>
        <w:rPr>
          <w:rFonts w:ascii="Times New Roman" w:eastAsia="宋体"/>
          <w:b/>
          <w:bCs/>
        </w:rPr>
      </w:pPr>
      <w:r>
        <w:rPr>
          <w:rFonts w:ascii="Times New Roman" w:eastAsia="宋体"/>
          <w:b/>
          <w:bCs/>
        </w:rPr>
        <w:t>水冷模块的分析</w:t>
      </w:r>
    </w:p>
    <w:p w14:paraId="49A079FA" w14:textId="77777777" w:rsidR="006D0CDE" w:rsidRDefault="00000000">
      <w:pPr>
        <w:pStyle w:val="affffff1"/>
        <w:numPr>
          <w:ilvl w:val="0"/>
          <w:numId w:val="34"/>
        </w:numPr>
        <w:ind w:firstLine="420"/>
        <w:rPr>
          <w:rFonts w:ascii="Times New Roman"/>
        </w:rPr>
      </w:pPr>
      <w:r>
        <w:rPr>
          <w:rFonts w:ascii="Times New Roman"/>
        </w:rPr>
        <w:t>对水冷模块进行目视检测和连接界面的超声检测。</w:t>
      </w:r>
    </w:p>
    <w:p w14:paraId="2C743F38" w14:textId="77777777" w:rsidR="006D0CDE" w:rsidRDefault="00000000">
      <w:pPr>
        <w:pStyle w:val="affffff1"/>
        <w:numPr>
          <w:ilvl w:val="0"/>
          <w:numId w:val="34"/>
        </w:numPr>
        <w:ind w:firstLine="420"/>
        <w:rPr>
          <w:rFonts w:ascii="Times New Roman"/>
        </w:rPr>
      </w:pPr>
      <w:r>
        <w:rPr>
          <w:rFonts w:ascii="Times New Roman"/>
        </w:rPr>
        <w:t>对水冷模块进行切割，对连接界面的裂纹、组织变化等进行分析。</w:t>
      </w:r>
    </w:p>
    <w:p w14:paraId="02AA0131" w14:textId="77777777" w:rsidR="006D0CDE" w:rsidRDefault="006D0CDE">
      <w:pPr>
        <w:pStyle w:val="affffff1"/>
        <w:ind w:firstLineChars="0" w:firstLine="0"/>
      </w:pPr>
    </w:p>
    <w:p w14:paraId="4EFC70F8" w14:textId="77777777" w:rsidR="006D0CDE" w:rsidRDefault="00000000">
      <w:pPr>
        <w:pStyle w:val="afff3"/>
        <w:spacing w:before="312" w:after="312"/>
      </w:pPr>
      <w:bookmarkStart w:id="49" w:name="_Toc190356792"/>
      <w:r>
        <w:rPr>
          <w:rFonts w:hint="eastAsia"/>
        </w:rPr>
        <w:t>测试报告</w:t>
      </w:r>
      <w:bookmarkEnd w:id="49"/>
    </w:p>
    <w:p w14:paraId="4586AE77" w14:textId="77777777" w:rsidR="006D0CDE" w:rsidRDefault="00000000">
      <w:pPr>
        <w:widowControl/>
        <w:autoSpaceDE w:val="0"/>
        <w:autoSpaceDN w:val="0"/>
        <w:spacing w:line="240" w:lineRule="auto"/>
        <w:ind w:firstLineChars="200" w:firstLine="420"/>
        <w:rPr>
          <w:rFonts w:ascii="Times New Roman" w:hAnsi="Times New Roman"/>
          <w:kern w:val="0"/>
          <w:szCs w:val="20"/>
        </w:rPr>
      </w:pPr>
      <w:r>
        <w:rPr>
          <w:rFonts w:ascii="Times New Roman" w:hAnsi="Times New Roman"/>
          <w:kern w:val="0"/>
          <w:szCs w:val="20"/>
        </w:rPr>
        <w:t>测试报告应包括但不限于以下内容：</w:t>
      </w:r>
    </w:p>
    <w:p w14:paraId="5ADFE9F0" w14:textId="77777777" w:rsidR="006D0CDE" w:rsidRDefault="00000000">
      <w:pPr>
        <w:pStyle w:val="afb"/>
        <w:numPr>
          <w:ilvl w:val="0"/>
          <w:numId w:val="0"/>
        </w:numPr>
        <w:ind w:firstLineChars="200" w:firstLine="420"/>
        <w:rPr>
          <w:rFonts w:ascii="Times New Roman"/>
        </w:rPr>
      </w:pPr>
      <w:r>
        <w:rPr>
          <w:rFonts w:ascii="Times New Roman"/>
        </w:rPr>
        <w:t>测试目的：描述本次高热负荷测试的目的；</w:t>
      </w:r>
    </w:p>
    <w:p w14:paraId="5B1E8CCE" w14:textId="77777777" w:rsidR="006D0CDE" w:rsidRDefault="00000000">
      <w:pPr>
        <w:pStyle w:val="afb"/>
        <w:numPr>
          <w:ilvl w:val="0"/>
          <w:numId w:val="0"/>
        </w:numPr>
        <w:ind w:left="420"/>
        <w:rPr>
          <w:rFonts w:ascii="Times New Roman"/>
        </w:rPr>
      </w:pPr>
      <w:r>
        <w:rPr>
          <w:rFonts w:ascii="Times New Roman"/>
        </w:rPr>
        <w:t>测试样品描述：</w:t>
      </w:r>
      <w:bookmarkStart w:id="50" w:name="_Hlk109933557"/>
      <w:r>
        <w:rPr>
          <w:rFonts w:ascii="Times New Roman"/>
        </w:rPr>
        <w:t>包括材料的种类、尺寸等；水冷模块的种类、焊接方式、超声检测、水压或者气</w:t>
      </w:r>
      <w:r>
        <w:rPr>
          <w:rFonts w:ascii="Times New Roman" w:hint="eastAsia"/>
        </w:rPr>
        <w:t>压</w:t>
      </w:r>
    </w:p>
    <w:p w14:paraId="3E0C94E6" w14:textId="77777777" w:rsidR="006D0CDE" w:rsidRDefault="00000000">
      <w:pPr>
        <w:pStyle w:val="afb"/>
        <w:numPr>
          <w:ilvl w:val="0"/>
          <w:numId w:val="0"/>
        </w:numPr>
        <w:rPr>
          <w:rFonts w:ascii="Times New Roman"/>
        </w:rPr>
      </w:pPr>
      <w:r>
        <w:rPr>
          <w:rFonts w:ascii="Times New Roman"/>
        </w:rPr>
        <w:t>测试结果；</w:t>
      </w:r>
      <w:bookmarkEnd w:id="50"/>
    </w:p>
    <w:p w14:paraId="03B92223" w14:textId="77777777" w:rsidR="006D0CDE" w:rsidRDefault="00000000">
      <w:pPr>
        <w:pStyle w:val="afb"/>
        <w:numPr>
          <w:ilvl w:val="0"/>
          <w:numId w:val="0"/>
        </w:numPr>
        <w:ind w:firstLineChars="200" w:firstLine="420"/>
        <w:rPr>
          <w:rFonts w:ascii="Times New Roman"/>
        </w:rPr>
      </w:pPr>
      <w:r>
        <w:rPr>
          <w:rFonts w:ascii="Times New Roman"/>
        </w:rPr>
        <w:t>高热负荷</w:t>
      </w:r>
      <w:r>
        <w:rPr>
          <w:rFonts w:ascii="Times New Roman" w:hint="eastAsia"/>
        </w:rPr>
        <w:t>测试</w:t>
      </w:r>
      <w:r>
        <w:rPr>
          <w:rFonts w:ascii="Times New Roman"/>
        </w:rPr>
        <w:t>参数：包括各种测试条件，如测试功率密度、冷却水参数、热循环次数、测试区域要求、吸收系数等；</w:t>
      </w:r>
    </w:p>
    <w:p w14:paraId="705F3F60" w14:textId="77777777" w:rsidR="006D0CDE" w:rsidRDefault="00000000">
      <w:pPr>
        <w:pStyle w:val="afb"/>
        <w:numPr>
          <w:ilvl w:val="0"/>
          <w:numId w:val="0"/>
        </w:numPr>
        <w:ind w:firstLineChars="200" w:firstLine="420"/>
        <w:rPr>
          <w:rFonts w:ascii="Times New Roman"/>
        </w:rPr>
      </w:pPr>
      <w:r>
        <w:rPr>
          <w:rFonts w:ascii="Times New Roman"/>
        </w:rPr>
        <w:t>测试过程中记录：包括测试日期、测试人员；红外热像仪和红外测温仪记录表面温度，数据采集系统记录表面温度、界面温度、水温、流量、水压、循环次数等；</w:t>
      </w:r>
    </w:p>
    <w:p w14:paraId="110F3B97" w14:textId="77777777" w:rsidR="006D0CDE" w:rsidRDefault="00000000">
      <w:pPr>
        <w:pStyle w:val="afb"/>
        <w:numPr>
          <w:ilvl w:val="0"/>
          <w:numId w:val="0"/>
        </w:numPr>
        <w:ind w:firstLineChars="200" w:firstLine="420"/>
        <w:rPr>
          <w:rFonts w:ascii="Times New Roman"/>
          <w:color w:val="FF0000"/>
          <w:highlight w:val="yellow"/>
        </w:rPr>
      </w:pPr>
      <w:r>
        <w:rPr>
          <w:rFonts w:ascii="Times New Roman"/>
        </w:rPr>
        <w:t>测试结果及结论：根据实验结果得出测试结论</w:t>
      </w:r>
      <w:r>
        <w:rPr>
          <w:rFonts w:ascii="Times New Roman" w:hint="eastAsia"/>
        </w:rPr>
        <w:t>。</w:t>
      </w:r>
    </w:p>
    <w:p w14:paraId="106DD11F" w14:textId="77777777" w:rsidR="006D0CDE" w:rsidRDefault="006D0CDE">
      <w:pPr>
        <w:pStyle w:val="affffff1"/>
        <w:ind w:firstLineChars="0" w:firstLine="0"/>
      </w:pPr>
    </w:p>
    <w:sectPr w:rsidR="006D0CDE">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CD194" w14:textId="77777777" w:rsidR="007249E5" w:rsidRDefault="007249E5">
      <w:pPr>
        <w:spacing w:line="240" w:lineRule="auto"/>
      </w:pPr>
      <w:r>
        <w:separator/>
      </w:r>
    </w:p>
  </w:endnote>
  <w:endnote w:type="continuationSeparator" w:id="0">
    <w:p w14:paraId="1ABA75E0" w14:textId="77777777" w:rsidR="007249E5" w:rsidRDefault="007249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1B20" w14:textId="77777777" w:rsidR="006D0CDE" w:rsidRDefault="00000000">
    <w:pPr>
      <w:pStyle w:val="affff7"/>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93E1" w14:textId="77777777" w:rsidR="006D0CDE" w:rsidRDefault="006D0CDE">
    <w:pPr>
      <w:pStyle w:val="affff7"/>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17A3" w14:textId="77777777" w:rsidR="006D0CDE" w:rsidRDefault="00000000">
    <w:pPr>
      <w:pStyle w:val="afffffe"/>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68AF1" w14:textId="77777777" w:rsidR="007249E5" w:rsidRDefault="007249E5">
      <w:pPr>
        <w:spacing w:line="240" w:lineRule="auto"/>
      </w:pPr>
      <w:r>
        <w:separator/>
      </w:r>
    </w:p>
  </w:footnote>
  <w:footnote w:type="continuationSeparator" w:id="0">
    <w:p w14:paraId="3D4C2757" w14:textId="77777777" w:rsidR="007249E5" w:rsidRDefault="007249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49DF5" w14:textId="77777777" w:rsidR="006D0CDE" w:rsidRDefault="00000000">
    <w:pPr>
      <w:pStyle w:val="affff9"/>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BA5A" w14:textId="77777777" w:rsidR="006D0CDE" w:rsidRDefault="006D0CDE">
    <w:pPr>
      <w:pStyle w:val="af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99F32" w14:textId="77777777" w:rsidR="006D0CDE" w:rsidRDefault="00000000">
    <w:pPr>
      <w:pStyle w:val="af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b/>
      </w:rPr>
      <w:t>错误！文档中没有指定样式的文字。</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EA54" w14:textId="77777777" w:rsidR="006D0CDE" w:rsidRDefault="00000000">
    <w:pPr>
      <w:pStyle w:val="affff9"/>
      <w:wordWrap w:val="0"/>
      <w:jc w:val="right"/>
      <w:rPr>
        <w:sz w:val="21"/>
        <w:szCs w:val="21"/>
      </w:rPr>
    </w:pPr>
    <w:r>
      <w:rPr>
        <w:rFonts w:hint="eastAsia"/>
        <w:sz w:val="21"/>
        <w:szCs w:val="21"/>
      </w:rPr>
      <w:t>T/XXX XXXX</w:t>
    </w:r>
    <w:r>
      <w:rPr>
        <w:rFonts w:hAnsi="黑体" w:hint="eastAsia"/>
        <w:sz w:val="21"/>
        <w:szCs w:val="21"/>
      </w:rPr>
      <w:t>—</w:t>
    </w:r>
    <w:r>
      <w:rPr>
        <w:rFonts w:hAnsi="黑体" w:hint="eastAsia"/>
        <w:sz w:val="21"/>
        <w:szCs w:val="21"/>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00BA34A"/>
    <w:multiLevelType w:val="singleLevel"/>
    <w:tmpl w:val="F00BA34A"/>
    <w:lvl w:ilvl="0">
      <w:start w:val="1"/>
      <w:numFmt w:val="decimal"/>
      <w:suff w:val="nothing"/>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0DACFE43"/>
    <w:multiLevelType w:val="singleLevel"/>
    <w:tmpl w:val="0DACFE43"/>
    <w:lvl w:ilvl="0">
      <w:start w:val="1"/>
      <w:numFmt w:val="decimal"/>
      <w:suff w:val="nothing"/>
      <w:lvlText w:val="（%1）"/>
      <w:lvlJc w:val="left"/>
    </w:lvl>
  </w:abstractNum>
  <w:abstractNum w:abstractNumId="9"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1FC91163"/>
    <w:multiLevelType w:val="multilevel"/>
    <w:tmpl w:val="1FC91163"/>
    <w:lvl w:ilvl="0">
      <w:start w:val="1"/>
      <w:numFmt w:val="decimal"/>
      <w:pStyle w:val="af2"/>
      <w:suff w:val="nothing"/>
      <w:lvlText w:val="%1　"/>
      <w:lvlJc w:val="left"/>
      <w:pPr>
        <w:ind w:left="4111" w:firstLine="0"/>
      </w:pPr>
      <w:rPr>
        <w:rFonts w:ascii="黑体" w:eastAsia="黑体" w:hAnsi="Times New Roman" w:hint="eastAsia"/>
        <w:b w:val="0"/>
        <w:i w:val="0"/>
        <w:sz w:val="21"/>
        <w:szCs w:val="21"/>
      </w:rPr>
    </w:lvl>
    <w:lvl w:ilvl="1">
      <w:start w:val="1"/>
      <w:numFmt w:val="decimal"/>
      <w:pStyle w:val="af3"/>
      <w:suff w:val="nothing"/>
      <w:lvlText w:val="3.%2　"/>
      <w:lvlJc w:val="left"/>
      <w:pPr>
        <w:ind w:left="141"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4.1.%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pStyle w:val="aff9"/>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0" w:firstLine="0"/>
      </w:pPr>
      <w:rPr>
        <w:rFonts w:ascii="黑体" w:eastAsia="黑体" w:hint="eastAsia"/>
        <w:b w:val="0"/>
        <w:i w:val="0"/>
        <w:sz w:val="21"/>
      </w:rPr>
    </w:lvl>
    <w:lvl w:ilvl="2">
      <w:start w:val="1"/>
      <w:numFmt w:val="decimal"/>
      <w:pStyle w:val="afff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5"/>
      <w:suff w:val="nothing"/>
      <w:lvlText w:val="%1%2.%3.%4　"/>
      <w:lvlJc w:val="left"/>
      <w:pPr>
        <w:ind w:left="283"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b"/>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04884219">
    <w:abstractNumId w:val="1"/>
  </w:num>
  <w:num w:numId="2" w16cid:durableId="367296062">
    <w:abstractNumId w:val="30"/>
  </w:num>
  <w:num w:numId="3" w16cid:durableId="1286230287">
    <w:abstractNumId w:val="6"/>
  </w:num>
  <w:num w:numId="4" w16cid:durableId="1295210844">
    <w:abstractNumId w:val="26"/>
  </w:num>
  <w:num w:numId="5" w16cid:durableId="400295062">
    <w:abstractNumId w:val="21"/>
  </w:num>
  <w:num w:numId="6" w16cid:durableId="1856766046">
    <w:abstractNumId w:val="16"/>
  </w:num>
  <w:num w:numId="7" w16cid:durableId="502478106">
    <w:abstractNumId w:val="10"/>
  </w:num>
  <w:num w:numId="8" w16cid:durableId="1837185921">
    <w:abstractNumId w:val="4"/>
  </w:num>
  <w:num w:numId="9" w16cid:durableId="1754006200">
    <w:abstractNumId w:val="11"/>
  </w:num>
  <w:num w:numId="10" w16cid:durableId="1248660648">
    <w:abstractNumId w:val="19"/>
  </w:num>
  <w:num w:numId="11" w16cid:durableId="1776829132">
    <w:abstractNumId w:val="28"/>
  </w:num>
  <w:num w:numId="12" w16cid:durableId="812871572">
    <w:abstractNumId w:val="14"/>
  </w:num>
  <w:num w:numId="13" w16cid:durableId="954093446">
    <w:abstractNumId w:val="15"/>
  </w:num>
  <w:num w:numId="14" w16cid:durableId="690648334">
    <w:abstractNumId w:val="9"/>
  </w:num>
  <w:num w:numId="15" w16cid:durableId="1820270722">
    <w:abstractNumId w:val="22"/>
  </w:num>
  <w:num w:numId="16" w16cid:durableId="426511554">
    <w:abstractNumId w:val="24"/>
  </w:num>
  <w:num w:numId="17" w16cid:durableId="1513489470">
    <w:abstractNumId w:val="20"/>
  </w:num>
  <w:num w:numId="18" w16cid:durableId="1727296519">
    <w:abstractNumId w:val="32"/>
  </w:num>
  <w:num w:numId="19" w16cid:durableId="1755588136">
    <w:abstractNumId w:val="18"/>
  </w:num>
  <w:num w:numId="20" w16cid:durableId="1681813399">
    <w:abstractNumId w:val="2"/>
  </w:num>
  <w:num w:numId="21" w16cid:durableId="1283457786">
    <w:abstractNumId w:val="13"/>
  </w:num>
  <w:num w:numId="22" w16cid:durableId="133525493">
    <w:abstractNumId w:val="33"/>
  </w:num>
  <w:num w:numId="23" w16cid:durableId="2124953133">
    <w:abstractNumId w:val="23"/>
  </w:num>
  <w:num w:numId="24" w16cid:durableId="340858415">
    <w:abstractNumId w:val="7"/>
  </w:num>
  <w:num w:numId="25" w16cid:durableId="1899129496">
    <w:abstractNumId w:val="29"/>
  </w:num>
  <w:num w:numId="26" w16cid:durableId="410084385">
    <w:abstractNumId w:val="31"/>
  </w:num>
  <w:num w:numId="27" w16cid:durableId="1234583217">
    <w:abstractNumId w:val="3"/>
  </w:num>
  <w:num w:numId="28" w16cid:durableId="642008265">
    <w:abstractNumId w:val="5"/>
  </w:num>
  <w:num w:numId="29" w16cid:durableId="537356068">
    <w:abstractNumId w:val="17"/>
  </w:num>
  <w:num w:numId="30" w16cid:durableId="1875725081">
    <w:abstractNumId w:val="27"/>
  </w:num>
  <w:num w:numId="31" w16cid:durableId="344326440">
    <w:abstractNumId w:val="25"/>
  </w:num>
  <w:num w:numId="32" w16cid:durableId="1601644382">
    <w:abstractNumId w:val="12"/>
  </w:num>
  <w:num w:numId="33" w16cid:durableId="710887346">
    <w:abstractNumId w:val="8"/>
  </w:num>
  <w:num w:numId="34" w16cid:durableId="1546716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2D2"/>
    <w:rsid w:val="0000040A"/>
    <w:rsid w:val="0000042F"/>
    <w:rsid w:val="0000078A"/>
    <w:rsid w:val="00000A94"/>
    <w:rsid w:val="00001972"/>
    <w:rsid w:val="00001D9A"/>
    <w:rsid w:val="00005486"/>
    <w:rsid w:val="00005A8A"/>
    <w:rsid w:val="00007B3A"/>
    <w:rsid w:val="000107E0"/>
    <w:rsid w:val="00011FDE"/>
    <w:rsid w:val="00012FFD"/>
    <w:rsid w:val="00014162"/>
    <w:rsid w:val="00014340"/>
    <w:rsid w:val="00015CD4"/>
    <w:rsid w:val="00016A9C"/>
    <w:rsid w:val="000178E1"/>
    <w:rsid w:val="00021ECD"/>
    <w:rsid w:val="00022184"/>
    <w:rsid w:val="00022762"/>
    <w:rsid w:val="000238E0"/>
    <w:rsid w:val="000249DB"/>
    <w:rsid w:val="0002595E"/>
    <w:rsid w:val="00026D70"/>
    <w:rsid w:val="000303C3"/>
    <w:rsid w:val="000331D3"/>
    <w:rsid w:val="000346A5"/>
    <w:rsid w:val="000359C3"/>
    <w:rsid w:val="00035A7D"/>
    <w:rsid w:val="00036E40"/>
    <w:rsid w:val="00041494"/>
    <w:rsid w:val="0004249A"/>
    <w:rsid w:val="00043282"/>
    <w:rsid w:val="00044286"/>
    <w:rsid w:val="00044BF9"/>
    <w:rsid w:val="00047F28"/>
    <w:rsid w:val="000503AA"/>
    <w:rsid w:val="000506A1"/>
    <w:rsid w:val="000512E3"/>
    <w:rsid w:val="000515DD"/>
    <w:rsid w:val="0005222F"/>
    <w:rsid w:val="0005265A"/>
    <w:rsid w:val="00052B77"/>
    <w:rsid w:val="000539DD"/>
    <w:rsid w:val="00053BD3"/>
    <w:rsid w:val="00054FDF"/>
    <w:rsid w:val="000556ED"/>
    <w:rsid w:val="00055FE2"/>
    <w:rsid w:val="0005616F"/>
    <w:rsid w:val="00056E69"/>
    <w:rsid w:val="00060C2E"/>
    <w:rsid w:val="00061033"/>
    <w:rsid w:val="000619E9"/>
    <w:rsid w:val="00062192"/>
    <w:rsid w:val="000622D4"/>
    <w:rsid w:val="0006357D"/>
    <w:rsid w:val="00066D05"/>
    <w:rsid w:val="00067F1E"/>
    <w:rsid w:val="00071CC0"/>
    <w:rsid w:val="00073C8C"/>
    <w:rsid w:val="00075671"/>
    <w:rsid w:val="00076943"/>
    <w:rsid w:val="00077B64"/>
    <w:rsid w:val="00080A1C"/>
    <w:rsid w:val="00080C27"/>
    <w:rsid w:val="00081640"/>
    <w:rsid w:val="00082317"/>
    <w:rsid w:val="00083D2C"/>
    <w:rsid w:val="00086AA1"/>
    <w:rsid w:val="00087A77"/>
    <w:rsid w:val="00090CA6"/>
    <w:rsid w:val="0009115C"/>
    <w:rsid w:val="00092B8A"/>
    <w:rsid w:val="00092FB0"/>
    <w:rsid w:val="000934C5"/>
    <w:rsid w:val="00093ABF"/>
    <w:rsid w:val="00093BA6"/>
    <w:rsid w:val="00093D25"/>
    <w:rsid w:val="00094CFE"/>
    <w:rsid w:val="00094D73"/>
    <w:rsid w:val="0009687A"/>
    <w:rsid w:val="00096D63"/>
    <w:rsid w:val="000A0B60"/>
    <w:rsid w:val="000A0EB8"/>
    <w:rsid w:val="000A19FC"/>
    <w:rsid w:val="000A296B"/>
    <w:rsid w:val="000A7311"/>
    <w:rsid w:val="000B060F"/>
    <w:rsid w:val="000B1592"/>
    <w:rsid w:val="000B1FF2"/>
    <w:rsid w:val="000B3CDA"/>
    <w:rsid w:val="000B43B8"/>
    <w:rsid w:val="000B48D5"/>
    <w:rsid w:val="000B48D9"/>
    <w:rsid w:val="000B6A0B"/>
    <w:rsid w:val="000B71D6"/>
    <w:rsid w:val="000C0F6C"/>
    <w:rsid w:val="000C11DB"/>
    <w:rsid w:val="000C2FBD"/>
    <w:rsid w:val="000C3E10"/>
    <w:rsid w:val="000C4AEA"/>
    <w:rsid w:val="000C4B41"/>
    <w:rsid w:val="000C57D6"/>
    <w:rsid w:val="000C7666"/>
    <w:rsid w:val="000D0A9C"/>
    <w:rsid w:val="000D1795"/>
    <w:rsid w:val="000D329A"/>
    <w:rsid w:val="000D4B9C"/>
    <w:rsid w:val="000D4EB6"/>
    <w:rsid w:val="000D753B"/>
    <w:rsid w:val="000D7C84"/>
    <w:rsid w:val="000E3F94"/>
    <w:rsid w:val="000E4C9E"/>
    <w:rsid w:val="000E556A"/>
    <w:rsid w:val="000E6FD7"/>
    <w:rsid w:val="000F06E1"/>
    <w:rsid w:val="000F0E3C"/>
    <w:rsid w:val="000F19D5"/>
    <w:rsid w:val="000F2E41"/>
    <w:rsid w:val="000F4AEA"/>
    <w:rsid w:val="000F6501"/>
    <w:rsid w:val="000F67E9"/>
    <w:rsid w:val="001016A7"/>
    <w:rsid w:val="00102A56"/>
    <w:rsid w:val="00104926"/>
    <w:rsid w:val="00107149"/>
    <w:rsid w:val="00113B1E"/>
    <w:rsid w:val="001167E0"/>
    <w:rsid w:val="0011711C"/>
    <w:rsid w:val="00117BB8"/>
    <w:rsid w:val="001226FF"/>
    <w:rsid w:val="00124E4F"/>
    <w:rsid w:val="001260B7"/>
    <w:rsid w:val="001265CB"/>
    <w:rsid w:val="001321C6"/>
    <w:rsid w:val="001325C4"/>
    <w:rsid w:val="00133010"/>
    <w:rsid w:val="001337A1"/>
    <w:rsid w:val="001338EE"/>
    <w:rsid w:val="00133AAE"/>
    <w:rsid w:val="00135323"/>
    <w:rsid w:val="001356C4"/>
    <w:rsid w:val="00141114"/>
    <w:rsid w:val="001411EA"/>
    <w:rsid w:val="00142969"/>
    <w:rsid w:val="00142EC6"/>
    <w:rsid w:val="001435B0"/>
    <w:rsid w:val="001457E7"/>
    <w:rsid w:val="00145D9D"/>
    <w:rsid w:val="00146388"/>
    <w:rsid w:val="001507D3"/>
    <w:rsid w:val="001529E5"/>
    <w:rsid w:val="00153C7E"/>
    <w:rsid w:val="001547BD"/>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47B"/>
    <w:rsid w:val="00176DFD"/>
    <w:rsid w:val="001772D8"/>
    <w:rsid w:val="001819DA"/>
    <w:rsid w:val="00182006"/>
    <w:rsid w:val="001836AE"/>
    <w:rsid w:val="001852C9"/>
    <w:rsid w:val="00190087"/>
    <w:rsid w:val="001913C4"/>
    <w:rsid w:val="0019348F"/>
    <w:rsid w:val="00193A07"/>
    <w:rsid w:val="00194C95"/>
    <w:rsid w:val="00195C34"/>
    <w:rsid w:val="001A1A53"/>
    <w:rsid w:val="001A234A"/>
    <w:rsid w:val="001B06E8"/>
    <w:rsid w:val="001B40D2"/>
    <w:rsid w:val="001B6ACA"/>
    <w:rsid w:val="001B71D0"/>
    <w:rsid w:val="001B71EE"/>
    <w:rsid w:val="001C04A8"/>
    <w:rsid w:val="001C2C03"/>
    <w:rsid w:val="001C42F7"/>
    <w:rsid w:val="001C49E5"/>
    <w:rsid w:val="001C5726"/>
    <w:rsid w:val="001C5781"/>
    <w:rsid w:val="001C680C"/>
    <w:rsid w:val="001C7FEA"/>
    <w:rsid w:val="001D0499"/>
    <w:rsid w:val="001D0BBE"/>
    <w:rsid w:val="001D0ED4"/>
    <w:rsid w:val="001D1C53"/>
    <w:rsid w:val="001D212F"/>
    <w:rsid w:val="001D29D7"/>
    <w:rsid w:val="001D2DE7"/>
    <w:rsid w:val="001D411C"/>
    <w:rsid w:val="001D7D14"/>
    <w:rsid w:val="001E1B6A"/>
    <w:rsid w:val="001E2484"/>
    <w:rsid w:val="001E3CC4"/>
    <w:rsid w:val="001E4882"/>
    <w:rsid w:val="001E5FAC"/>
    <w:rsid w:val="001E61C4"/>
    <w:rsid w:val="001E73AB"/>
    <w:rsid w:val="001E74B9"/>
    <w:rsid w:val="001F092D"/>
    <w:rsid w:val="001F143A"/>
    <w:rsid w:val="001F1605"/>
    <w:rsid w:val="001F2508"/>
    <w:rsid w:val="001F4816"/>
    <w:rsid w:val="001F69B4"/>
    <w:rsid w:val="001F77C7"/>
    <w:rsid w:val="00200183"/>
    <w:rsid w:val="0020107D"/>
    <w:rsid w:val="0020175D"/>
    <w:rsid w:val="00202AA4"/>
    <w:rsid w:val="002031F7"/>
    <w:rsid w:val="00203CAD"/>
    <w:rsid w:val="002040E6"/>
    <w:rsid w:val="0020527B"/>
    <w:rsid w:val="00210B15"/>
    <w:rsid w:val="00210BF6"/>
    <w:rsid w:val="0021153D"/>
    <w:rsid w:val="002142EA"/>
    <w:rsid w:val="002204BB"/>
    <w:rsid w:val="00221B79"/>
    <w:rsid w:val="00221C6B"/>
    <w:rsid w:val="002253A1"/>
    <w:rsid w:val="00225CF8"/>
    <w:rsid w:val="0022794E"/>
    <w:rsid w:val="00233D64"/>
    <w:rsid w:val="0023482A"/>
    <w:rsid w:val="002359CB"/>
    <w:rsid w:val="00240F6C"/>
    <w:rsid w:val="00243540"/>
    <w:rsid w:val="0024497B"/>
    <w:rsid w:val="0024515B"/>
    <w:rsid w:val="00246021"/>
    <w:rsid w:val="0024666E"/>
    <w:rsid w:val="00247F52"/>
    <w:rsid w:val="00250B25"/>
    <w:rsid w:val="00250BBE"/>
    <w:rsid w:val="0025194F"/>
    <w:rsid w:val="00253795"/>
    <w:rsid w:val="0025604C"/>
    <w:rsid w:val="0026148A"/>
    <w:rsid w:val="00262696"/>
    <w:rsid w:val="002629D6"/>
    <w:rsid w:val="002643C3"/>
    <w:rsid w:val="00264A0C"/>
    <w:rsid w:val="00267D92"/>
    <w:rsid w:val="00267EF4"/>
    <w:rsid w:val="00270CB8"/>
    <w:rsid w:val="00272B08"/>
    <w:rsid w:val="00272B3F"/>
    <w:rsid w:val="002748D5"/>
    <w:rsid w:val="00275064"/>
    <w:rsid w:val="00281609"/>
    <w:rsid w:val="00281BB8"/>
    <w:rsid w:val="00281E9E"/>
    <w:rsid w:val="00285170"/>
    <w:rsid w:val="00285361"/>
    <w:rsid w:val="00291659"/>
    <w:rsid w:val="00292D60"/>
    <w:rsid w:val="00294080"/>
    <w:rsid w:val="00294D34"/>
    <w:rsid w:val="00294E3B"/>
    <w:rsid w:val="00296193"/>
    <w:rsid w:val="00296C66"/>
    <w:rsid w:val="00296EBE"/>
    <w:rsid w:val="002974E3"/>
    <w:rsid w:val="002A084B"/>
    <w:rsid w:val="002A1260"/>
    <w:rsid w:val="002A1589"/>
    <w:rsid w:val="002A1608"/>
    <w:rsid w:val="002A1C8D"/>
    <w:rsid w:val="002A25DC"/>
    <w:rsid w:val="002A3AAB"/>
    <w:rsid w:val="002A4CEA"/>
    <w:rsid w:val="002A5977"/>
    <w:rsid w:val="002A5A13"/>
    <w:rsid w:val="002A7F44"/>
    <w:rsid w:val="002B0C40"/>
    <w:rsid w:val="002B1966"/>
    <w:rsid w:val="002B1BAF"/>
    <w:rsid w:val="002B4508"/>
    <w:rsid w:val="002B5779"/>
    <w:rsid w:val="002B6DF5"/>
    <w:rsid w:val="002B7332"/>
    <w:rsid w:val="002B7F51"/>
    <w:rsid w:val="002C09E7"/>
    <w:rsid w:val="002C0CB5"/>
    <w:rsid w:val="002C1B28"/>
    <w:rsid w:val="002C2F1E"/>
    <w:rsid w:val="002C366E"/>
    <w:rsid w:val="002C3F07"/>
    <w:rsid w:val="002C5278"/>
    <w:rsid w:val="002C5DC6"/>
    <w:rsid w:val="002C721A"/>
    <w:rsid w:val="002C73E5"/>
    <w:rsid w:val="002C7EBB"/>
    <w:rsid w:val="002D06C1"/>
    <w:rsid w:val="002D1250"/>
    <w:rsid w:val="002D267F"/>
    <w:rsid w:val="002D42B5"/>
    <w:rsid w:val="002D4F1A"/>
    <w:rsid w:val="002D6C46"/>
    <w:rsid w:val="002D6EC6"/>
    <w:rsid w:val="002D707F"/>
    <w:rsid w:val="002D79AC"/>
    <w:rsid w:val="002E039D"/>
    <w:rsid w:val="002E4D5A"/>
    <w:rsid w:val="002E6326"/>
    <w:rsid w:val="002F30E0"/>
    <w:rsid w:val="002F35E4"/>
    <w:rsid w:val="002F3730"/>
    <w:rsid w:val="002F38E1"/>
    <w:rsid w:val="002F7AF6"/>
    <w:rsid w:val="00300E63"/>
    <w:rsid w:val="00300EDC"/>
    <w:rsid w:val="00302F5F"/>
    <w:rsid w:val="0030441D"/>
    <w:rsid w:val="00306063"/>
    <w:rsid w:val="00313B85"/>
    <w:rsid w:val="00313B92"/>
    <w:rsid w:val="00314BDF"/>
    <w:rsid w:val="00317988"/>
    <w:rsid w:val="003221B4"/>
    <w:rsid w:val="00322E62"/>
    <w:rsid w:val="00324EDD"/>
    <w:rsid w:val="00332FC2"/>
    <w:rsid w:val="00334026"/>
    <w:rsid w:val="00336C64"/>
    <w:rsid w:val="00337162"/>
    <w:rsid w:val="0034194F"/>
    <w:rsid w:val="00342AFC"/>
    <w:rsid w:val="00344605"/>
    <w:rsid w:val="003464FE"/>
    <w:rsid w:val="00346D8B"/>
    <w:rsid w:val="003474AA"/>
    <w:rsid w:val="00350D1D"/>
    <w:rsid w:val="00352C83"/>
    <w:rsid w:val="00355B9F"/>
    <w:rsid w:val="00356ADE"/>
    <w:rsid w:val="00356C82"/>
    <w:rsid w:val="003615D2"/>
    <w:rsid w:val="0036429C"/>
    <w:rsid w:val="00364A53"/>
    <w:rsid w:val="003654CB"/>
    <w:rsid w:val="00365F86"/>
    <w:rsid w:val="00365F87"/>
    <w:rsid w:val="0036772F"/>
    <w:rsid w:val="003678A0"/>
    <w:rsid w:val="003705F4"/>
    <w:rsid w:val="00370D58"/>
    <w:rsid w:val="00371316"/>
    <w:rsid w:val="003748AF"/>
    <w:rsid w:val="00376713"/>
    <w:rsid w:val="00381815"/>
    <w:rsid w:val="003819AF"/>
    <w:rsid w:val="003820E9"/>
    <w:rsid w:val="00382DE7"/>
    <w:rsid w:val="00382E33"/>
    <w:rsid w:val="00383C02"/>
    <w:rsid w:val="00384422"/>
    <w:rsid w:val="00384FFC"/>
    <w:rsid w:val="003872FC"/>
    <w:rsid w:val="00387834"/>
    <w:rsid w:val="00387ADC"/>
    <w:rsid w:val="00390020"/>
    <w:rsid w:val="003903D6"/>
    <w:rsid w:val="003906E5"/>
    <w:rsid w:val="00390EE6"/>
    <w:rsid w:val="0039118F"/>
    <w:rsid w:val="00392AD7"/>
    <w:rsid w:val="00392C1E"/>
    <w:rsid w:val="00392E17"/>
    <w:rsid w:val="003938D9"/>
    <w:rsid w:val="00394376"/>
    <w:rsid w:val="003943FF"/>
    <w:rsid w:val="00395F3F"/>
    <w:rsid w:val="00397430"/>
    <w:rsid w:val="003974EB"/>
    <w:rsid w:val="00397CC5"/>
    <w:rsid w:val="003A1582"/>
    <w:rsid w:val="003A2325"/>
    <w:rsid w:val="003A4077"/>
    <w:rsid w:val="003B09AD"/>
    <w:rsid w:val="003B1F18"/>
    <w:rsid w:val="003B59A2"/>
    <w:rsid w:val="003B5BF0"/>
    <w:rsid w:val="003B60BF"/>
    <w:rsid w:val="003B6BE3"/>
    <w:rsid w:val="003C010C"/>
    <w:rsid w:val="003C0A6C"/>
    <w:rsid w:val="003C2638"/>
    <w:rsid w:val="003C5A43"/>
    <w:rsid w:val="003D0519"/>
    <w:rsid w:val="003D0FF6"/>
    <w:rsid w:val="003D1117"/>
    <w:rsid w:val="003D262C"/>
    <w:rsid w:val="003D6D61"/>
    <w:rsid w:val="003E091D"/>
    <w:rsid w:val="003E1C53"/>
    <w:rsid w:val="003E2A69"/>
    <w:rsid w:val="003E2D49"/>
    <w:rsid w:val="003E2FD4"/>
    <w:rsid w:val="003E49F6"/>
    <w:rsid w:val="003F0841"/>
    <w:rsid w:val="003F1460"/>
    <w:rsid w:val="003F209F"/>
    <w:rsid w:val="003F23D3"/>
    <w:rsid w:val="003F3F08"/>
    <w:rsid w:val="003F49F1"/>
    <w:rsid w:val="003F617C"/>
    <w:rsid w:val="003F6272"/>
    <w:rsid w:val="003F672C"/>
    <w:rsid w:val="003F7AB6"/>
    <w:rsid w:val="00400E72"/>
    <w:rsid w:val="00401400"/>
    <w:rsid w:val="00404869"/>
    <w:rsid w:val="00405884"/>
    <w:rsid w:val="00406AEA"/>
    <w:rsid w:val="004074A2"/>
    <w:rsid w:val="00407D39"/>
    <w:rsid w:val="004143A9"/>
    <w:rsid w:val="0041477A"/>
    <w:rsid w:val="0041545D"/>
    <w:rsid w:val="004167A3"/>
    <w:rsid w:val="00417F36"/>
    <w:rsid w:val="004207B6"/>
    <w:rsid w:val="00432DAA"/>
    <w:rsid w:val="00433FE0"/>
    <w:rsid w:val="00434305"/>
    <w:rsid w:val="004347D3"/>
    <w:rsid w:val="0043592C"/>
    <w:rsid w:val="00435DF7"/>
    <w:rsid w:val="0044083F"/>
    <w:rsid w:val="00441AE7"/>
    <w:rsid w:val="00445574"/>
    <w:rsid w:val="00445604"/>
    <w:rsid w:val="004467FB"/>
    <w:rsid w:val="00452D6B"/>
    <w:rsid w:val="00454484"/>
    <w:rsid w:val="004547C4"/>
    <w:rsid w:val="0045517B"/>
    <w:rsid w:val="00460D3A"/>
    <w:rsid w:val="004630BB"/>
    <w:rsid w:val="00463B77"/>
    <w:rsid w:val="00463C7B"/>
    <w:rsid w:val="004644A6"/>
    <w:rsid w:val="004659BD"/>
    <w:rsid w:val="004672FB"/>
    <w:rsid w:val="00470775"/>
    <w:rsid w:val="00472740"/>
    <w:rsid w:val="004746B1"/>
    <w:rsid w:val="00475642"/>
    <w:rsid w:val="0047583F"/>
    <w:rsid w:val="004802BB"/>
    <w:rsid w:val="004807DC"/>
    <w:rsid w:val="00481668"/>
    <w:rsid w:val="00481BF4"/>
    <w:rsid w:val="00484761"/>
    <w:rsid w:val="00484936"/>
    <w:rsid w:val="00484C4B"/>
    <w:rsid w:val="00485C89"/>
    <w:rsid w:val="00486BE3"/>
    <w:rsid w:val="004905E4"/>
    <w:rsid w:val="00490A89"/>
    <w:rsid w:val="00490AB4"/>
    <w:rsid w:val="00492D85"/>
    <w:rsid w:val="00492F02"/>
    <w:rsid w:val="004939AE"/>
    <w:rsid w:val="00495783"/>
    <w:rsid w:val="004A12DF"/>
    <w:rsid w:val="004A1BA8"/>
    <w:rsid w:val="004A1DEB"/>
    <w:rsid w:val="004A4B57"/>
    <w:rsid w:val="004A4EBA"/>
    <w:rsid w:val="004A63FA"/>
    <w:rsid w:val="004A6773"/>
    <w:rsid w:val="004B074D"/>
    <w:rsid w:val="004B2701"/>
    <w:rsid w:val="004B2E1B"/>
    <w:rsid w:val="004B3E93"/>
    <w:rsid w:val="004B6184"/>
    <w:rsid w:val="004C1FBC"/>
    <w:rsid w:val="004C3F1D"/>
    <w:rsid w:val="004C40DA"/>
    <w:rsid w:val="004C458D"/>
    <w:rsid w:val="004C7556"/>
    <w:rsid w:val="004C7E9D"/>
    <w:rsid w:val="004C7F67"/>
    <w:rsid w:val="004D0085"/>
    <w:rsid w:val="004D076D"/>
    <w:rsid w:val="004D0EF1"/>
    <w:rsid w:val="004D1D5D"/>
    <w:rsid w:val="004D2253"/>
    <w:rsid w:val="004D4406"/>
    <w:rsid w:val="004D7C42"/>
    <w:rsid w:val="004E0465"/>
    <w:rsid w:val="004E127B"/>
    <w:rsid w:val="004E1C0A"/>
    <w:rsid w:val="004E30C5"/>
    <w:rsid w:val="004E4AA5"/>
    <w:rsid w:val="004E4AEE"/>
    <w:rsid w:val="004E59E3"/>
    <w:rsid w:val="004E5A0D"/>
    <w:rsid w:val="004E5EBF"/>
    <w:rsid w:val="004E67C0"/>
    <w:rsid w:val="004E6BB2"/>
    <w:rsid w:val="004F1408"/>
    <w:rsid w:val="004F305D"/>
    <w:rsid w:val="004F391A"/>
    <w:rsid w:val="004F3CE8"/>
    <w:rsid w:val="004F3CFB"/>
    <w:rsid w:val="004F5DC8"/>
    <w:rsid w:val="004F6456"/>
    <w:rsid w:val="004F696E"/>
    <w:rsid w:val="004F6C71"/>
    <w:rsid w:val="00501139"/>
    <w:rsid w:val="005025A2"/>
    <w:rsid w:val="00502C2E"/>
    <w:rsid w:val="0050363E"/>
    <w:rsid w:val="005039BC"/>
    <w:rsid w:val="005043BB"/>
    <w:rsid w:val="0050473A"/>
    <w:rsid w:val="00504A3D"/>
    <w:rsid w:val="00505193"/>
    <w:rsid w:val="00505767"/>
    <w:rsid w:val="005073F0"/>
    <w:rsid w:val="00510A7B"/>
    <w:rsid w:val="00512F6E"/>
    <w:rsid w:val="00513038"/>
    <w:rsid w:val="00513BDF"/>
    <w:rsid w:val="00514174"/>
    <w:rsid w:val="00514DF9"/>
    <w:rsid w:val="00516088"/>
    <w:rsid w:val="00516AF9"/>
    <w:rsid w:val="00516B0B"/>
    <w:rsid w:val="00516EBA"/>
    <w:rsid w:val="005220EC"/>
    <w:rsid w:val="00523817"/>
    <w:rsid w:val="00523F95"/>
    <w:rsid w:val="00524D65"/>
    <w:rsid w:val="00525B16"/>
    <w:rsid w:val="00533D04"/>
    <w:rsid w:val="00534648"/>
    <w:rsid w:val="00534804"/>
    <w:rsid w:val="00534BDF"/>
    <w:rsid w:val="005354EA"/>
    <w:rsid w:val="00535EC4"/>
    <w:rsid w:val="00535ED9"/>
    <w:rsid w:val="0053692B"/>
    <w:rsid w:val="00541853"/>
    <w:rsid w:val="00543BDA"/>
    <w:rsid w:val="005441CC"/>
    <w:rsid w:val="005479DA"/>
    <w:rsid w:val="00547BCC"/>
    <w:rsid w:val="0055013B"/>
    <w:rsid w:val="00551DC4"/>
    <w:rsid w:val="00551F6F"/>
    <w:rsid w:val="00552B17"/>
    <w:rsid w:val="005530B6"/>
    <w:rsid w:val="00555044"/>
    <w:rsid w:val="0055785B"/>
    <w:rsid w:val="00561475"/>
    <w:rsid w:val="005634B0"/>
    <w:rsid w:val="0056487B"/>
    <w:rsid w:val="00564FB9"/>
    <w:rsid w:val="00565DDC"/>
    <w:rsid w:val="00573D9E"/>
    <w:rsid w:val="005759CA"/>
    <w:rsid w:val="00580008"/>
    <w:rsid w:val="005801E3"/>
    <w:rsid w:val="00580236"/>
    <w:rsid w:val="0058044B"/>
    <w:rsid w:val="00580FB2"/>
    <w:rsid w:val="00581802"/>
    <w:rsid w:val="00583370"/>
    <w:rsid w:val="005836A8"/>
    <w:rsid w:val="00584262"/>
    <w:rsid w:val="00586630"/>
    <w:rsid w:val="00587705"/>
    <w:rsid w:val="00587ADD"/>
    <w:rsid w:val="00596160"/>
    <w:rsid w:val="005966E2"/>
    <w:rsid w:val="00597007"/>
    <w:rsid w:val="005A0966"/>
    <w:rsid w:val="005A11B7"/>
    <w:rsid w:val="005A15B4"/>
    <w:rsid w:val="005A260B"/>
    <w:rsid w:val="005A2F7C"/>
    <w:rsid w:val="005A4A1B"/>
    <w:rsid w:val="005A7830"/>
    <w:rsid w:val="005A7FCE"/>
    <w:rsid w:val="005B0F3F"/>
    <w:rsid w:val="005B4903"/>
    <w:rsid w:val="005B51CE"/>
    <w:rsid w:val="005B5885"/>
    <w:rsid w:val="005B5CD7"/>
    <w:rsid w:val="005B6CF6"/>
    <w:rsid w:val="005B7422"/>
    <w:rsid w:val="005C29B8"/>
    <w:rsid w:val="005C35DD"/>
    <w:rsid w:val="005C5F21"/>
    <w:rsid w:val="005C7156"/>
    <w:rsid w:val="005C7956"/>
    <w:rsid w:val="005D0C75"/>
    <w:rsid w:val="005D4171"/>
    <w:rsid w:val="005D5BA9"/>
    <w:rsid w:val="005D6A95"/>
    <w:rsid w:val="005D6B2C"/>
    <w:rsid w:val="005D6D9C"/>
    <w:rsid w:val="005E14F7"/>
    <w:rsid w:val="005E2335"/>
    <w:rsid w:val="005E34CA"/>
    <w:rsid w:val="005E3C18"/>
    <w:rsid w:val="005E7881"/>
    <w:rsid w:val="005E78E0"/>
    <w:rsid w:val="005F0D9C"/>
    <w:rsid w:val="005F284E"/>
    <w:rsid w:val="005F315D"/>
    <w:rsid w:val="005F45E1"/>
    <w:rsid w:val="005F7A47"/>
    <w:rsid w:val="006002B2"/>
    <w:rsid w:val="0060068E"/>
    <w:rsid w:val="006015CE"/>
    <w:rsid w:val="006017C4"/>
    <w:rsid w:val="0060327D"/>
    <w:rsid w:val="006039D7"/>
    <w:rsid w:val="00603B6D"/>
    <w:rsid w:val="00604784"/>
    <w:rsid w:val="00606419"/>
    <w:rsid w:val="00607D29"/>
    <w:rsid w:val="00612952"/>
    <w:rsid w:val="00614CC1"/>
    <w:rsid w:val="00615A9D"/>
    <w:rsid w:val="006162BE"/>
    <w:rsid w:val="00616BBB"/>
    <w:rsid w:val="00617339"/>
    <w:rsid w:val="00617387"/>
    <w:rsid w:val="0062004B"/>
    <w:rsid w:val="00620ABA"/>
    <w:rsid w:val="006252D8"/>
    <w:rsid w:val="006259BC"/>
    <w:rsid w:val="0062636B"/>
    <w:rsid w:val="00626922"/>
    <w:rsid w:val="0063114F"/>
    <w:rsid w:val="00632182"/>
    <w:rsid w:val="00632AE0"/>
    <w:rsid w:val="00633C17"/>
    <w:rsid w:val="00634091"/>
    <w:rsid w:val="00635BD5"/>
    <w:rsid w:val="00636E3E"/>
    <w:rsid w:val="00637865"/>
    <w:rsid w:val="006379F7"/>
    <w:rsid w:val="00637E4D"/>
    <w:rsid w:val="00640620"/>
    <w:rsid w:val="00640D5D"/>
    <w:rsid w:val="0064119B"/>
    <w:rsid w:val="00641A1F"/>
    <w:rsid w:val="00645904"/>
    <w:rsid w:val="00651ACB"/>
    <w:rsid w:val="00651C47"/>
    <w:rsid w:val="00652AB2"/>
    <w:rsid w:val="00654EC0"/>
    <w:rsid w:val="0065525B"/>
    <w:rsid w:val="00655D4F"/>
    <w:rsid w:val="00661C26"/>
    <w:rsid w:val="006640E5"/>
    <w:rsid w:val="006646F1"/>
    <w:rsid w:val="00664929"/>
    <w:rsid w:val="00664F62"/>
    <w:rsid w:val="006655E1"/>
    <w:rsid w:val="006704BD"/>
    <w:rsid w:val="00672060"/>
    <w:rsid w:val="00672BFD"/>
    <w:rsid w:val="00672D5F"/>
    <w:rsid w:val="006741E1"/>
    <w:rsid w:val="0067605E"/>
    <w:rsid w:val="006770F4"/>
    <w:rsid w:val="00677A84"/>
    <w:rsid w:val="0068026D"/>
    <w:rsid w:val="00680A27"/>
    <w:rsid w:val="006816A4"/>
    <w:rsid w:val="006819B8"/>
    <w:rsid w:val="0068314B"/>
    <w:rsid w:val="00683F20"/>
    <w:rsid w:val="006840A6"/>
    <w:rsid w:val="006850CD"/>
    <w:rsid w:val="00685AAB"/>
    <w:rsid w:val="00690A70"/>
    <w:rsid w:val="006A07AA"/>
    <w:rsid w:val="006A25E5"/>
    <w:rsid w:val="006A2B46"/>
    <w:rsid w:val="006A336D"/>
    <w:rsid w:val="006A37B9"/>
    <w:rsid w:val="006B2672"/>
    <w:rsid w:val="006B54BF"/>
    <w:rsid w:val="006B5F44"/>
    <w:rsid w:val="006B5F90"/>
    <w:rsid w:val="006B62E4"/>
    <w:rsid w:val="006C1ABC"/>
    <w:rsid w:val="006C1BBA"/>
    <w:rsid w:val="006C2079"/>
    <w:rsid w:val="006C5A62"/>
    <w:rsid w:val="006C5D68"/>
    <w:rsid w:val="006C6976"/>
    <w:rsid w:val="006C6DD0"/>
    <w:rsid w:val="006D04EA"/>
    <w:rsid w:val="006D0CDE"/>
    <w:rsid w:val="006D16C4"/>
    <w:rsid w:val="006D2492"/>
    <w:rsid w:val="006D3E96"/>
    <w:rsid w:val="006D4515"/>
    <w:rsid w:val="006D4BB1"/>
    <w:rsid w:val="006D5B8D"/>
    <w:rsid w:val="006D6593"/>
    <w:rsid w:val="006F03A8"/>
    <w:rsid w:val="006F2ACA"/>
    <w:rsid w:val="006F2ADC"/>
    <w:rsid w:val="006F2BFE"/>
    <w:rsid w:val="006F31E9"/>
    <w:rsid w:val="006F39FF"/>
    <w:rsid w:val="006F42F9"/>
    <w:rsid w:val="006F6284"/>
    <w:rsid w:val="007002C5"/>
    <w:rsid w:val="00704387"/>
    <w:rsid w:val="00707669"/>
    <w:rsid w:val="00711CBA"/>
    <w:rsid w:val="00711FB5"/>
    <w:rsid w:val="00712A01"/>
    <w:rsid w:val="00714F58"/>
    <w:rsid w:val="00715866"/>
    <w:rsid w:val="0071643C"/>
    <w:rsid w:val="0071643E"/>
    <w:rsid w:val="00716CC8"/>
    <w:rsid w:val="00717C3F"/>
    <w:rsid w:val="00722FBF"/>
    <w:rsid w:val="00722FC2"/>
    <w:rsid w:val="007249E5"/>
    <w:rsid w:val="00725949"/>
    <w:rsid w:val="00727FA2"/>
    <w:rsid w:val="00731480"/>
    <w:rsid w:val="007322D9"/>
    <w:rsid w:val="00732638"/>
    <w:rsid w:val="00732BC0"/>
    <w:rsid w:val="00734F3E"/>
    <w:rsid w:val="00735649"/>
    <w:rsid w:val="0073720F"/>
    <w:rsid w:val="00737611"/>
    <w:rsid w:val="00737796"/>
    <w:rsid w:val="00737BEB"/>
    <w:rsid w:val="0074040B"/>
    <w:rsid w:val="0074165C"/>
    <w:rsid w:val="007428CF"/>
    <w:rsid w:val="00742B53"/>
    <w:rsid w:val="007432CA"/>
    <w:rsid w:val="007439EB"/>
    <w:rsid w:val="00743CB4"/>
    <w:rsid w:val="00743F0A"/>
    <w:rsid w:val="007444E8"/>
    <w:rsid w:val="0074548E"/>
    <w:rsid w:val="00745773"/>
    <w:rsid w:val="00746800"/>
    <w:rsid w:val="00747645"/>
    <w:rsid w:val="007501A8"/>
    <w:rsid w:val="007502E3"/>
    <w:rsid w:val="00750EE1"/>
    <w:rsid w:val="007522D7"/>
    <w:rsid w:val="00752B4D"/>
    <w:rsid w:val="0075376A"/>
    <w:rsid w:val="00755402"/>
    <w:rsid w:val="00756B26"/>
    <w:rsid w:val="00756EDF"/>
    <w:rsid w:val="007575D7"/>
    <w:rsid w:val="007609A2"/>
    <w:rsid w:val="0076210C"/>
    <w:rsid w:val="0076430E"/>
    <w:rsid w:val="007658F6"/>
    <w:rsid w:val="00765C43"/>
    <w:rsid w:val="00765EFB"/>
    <w:rsid w:val="007671A9"/>
    <w:rsid w:val="007671CA"/>
    <w:rsid w:val="00767C61"/>
    <w:rsid w:val="0077008A"/>
    <w:rsid w:val="007729A1"/>
    <w:rsid w:val="00773B42"/>
    <w:rsid w:val="00773C1F"/>
    <w:rsid w:val="00774DA4"/>
    <w:rsid w:val="00776599"/>
    <w:rsid w:val="0078114B"/>
    <w:rsid w:val="00781DD2"/>
    <w:rsid w:val="00783ECF"/>
    <w:rsid w:val="00783F72"/>
    <w:rsid w:val="0078413A"/>
    <w:rsid w:val="00790CA3"/>
    <w:rsid w:val="00793E90"/>
    <w:rsid w:val="00795931"/>
    <w:rsid w:val="007959E8"/>
    <w:rsid w:val="00795E9C"/>
    <w:rsid w:val="0079733F"/>
    <w:rsid w:val="007A0521"/>
    <w:rsid w:val="007A061E"/>
    <w:rsid w:val="007A2E12"/>
    <w:rsid w:val="007A3475"/>
    <w:rsid w:val="007A41C8"/>
    <w:rsid w:val="007A4392"/>
    <w:rsid w:val="007A47A2"/>
    <w:rsid w:val="007A4E8A"/>
    <w:rsid w:val="007A54CE"/>
    <w:rsid w:val="007A7FFA"/>
    <w:rsid w:val="007B04EB"/>
    <w:rsid w:val="007B0B48"/>
    <w:rsid w:val="007B0D4F"/>
    <w:rsid w:val="007B0F3F"/>
    <w:rsid w:val="007B4887"/>
    <w:rsid w:val="007B57B0"/>
    <w:rsid w:val="007B5A3D"/>
    <w:rsid w:val="007B5B95"/>
    <w:rsid w:val="007B68EA"/>
    <w:rsid w:val="007B6D94"/>
    <w:rsid w:val="007B74E1"/>
    <w:rsid w:val="007C19E8"/>
    <w:rsid w:val="007C2D89"/>
    <w:rsid w:val="007C4593"/>
    <w:rsid w:val="007C4C57"/>
    <w:rsid w:val="007C5309"/>
    <w:rsid w:val="007C6069"/>
    <w:rsid w:val="007D06C4"/>
    <w:rsid w:val="007D1352"/>
    <w:rsid w:val="007D2508"/>
    <w:rsid w:val="007D346A"/>
    <w:rsid w:val="007D6518"/>
    <w:rsid w:val="007D76BD"/>
    <w:rsid w:val="007E0BF1"/>
    <w:rsid w:val="007E0C29"/>
    <w:rsid w:val="007E1C69"/>
    <w:rsid w:val="007E71E1"/>
    <w:rsid w:val="007E7B85"/>
    <w:rsid w:val="007F0ED8"/>
    <w:rsid w:val="007F0F63"/>
    <w:rsid w:val="007F75CE"/>
    <w:rsid w:val="007F799C"/>
    <w:rsid w:val="007F7A0D"/>
    <w:rsid w:val="008013A4"/>
    <w:rsid w:val="008027CE"/>
    <w:rsid w:val="00802F42"/>
    <w:rsid w:val="00803527"/>
    <w:rsid w:val="00804383"/>
    <w:rsid w:val="00804BB7"/>
    <w:rsid w:val="00810257"/>
    <w:rsid w:val="008104F5"/>
    <w:rsid w:val="00811072"/>
    <w:rsid w:val="00811369"/>
    <w:rsid w:val="00814E50"/>
    <w:rsid w:val="00815419"/>
    <w:rsid w:val="008163C8"/>
    <w:rsid w:val="00817325"/>
    <w:rsid w:val="008209E6"/>
    <w:rsid w:val="00821A13"/>
    <w:rsid w:val="00823056"/>
    <w:rsid w:val="00823303"/>
    <w:rsid w:val="008233B2"/>
    <w:rsid w:val="00823A9F"/>
    <w:rsid w:val="00823C85"/>
    <w:rsid w:val="00825138"/>
    <w:rsid w:val="008269DD"/>
    <w:rsid w:val="00830621"/>
    <w:rsid w:val="0083348C"/>
    <w:rsid w:val="00833B5E"/>
    <w:rsid w:val="008373D3"/>
    <w:rsid w:val="00840617"/>
    <w:rsid w:val="0084203F"/>
    <w:rsid w:val="008427CF"/>
    <w:rsid w:val="00842A47"/>
    <w:rsid w:val="00843C13"/>
    <w:rsid w:val="008454F8"/>
    <w:rsid w:val="00850C25"/>
    <w:rsid w:val="00851342"/>
    <w:rsid w:val="0085173A"/>
    <w:rsid w:val="008532D2"/>
    <w:rsid w:val="008603CE"/>
    <w:rsid w:val="008620FC"/>
    <w:rsid w:val="008627A5"/>
    <w:rsid w:val="00863E05"/>
    <w:rsid w:val="008651D2"/>
    <w:rsid w:val="00865878"/>
    <w:rsid w:val="00865ACA"/>
    <w:rsid w:val="00865D28"/>
    <w:rsid w:val="00865F85"/>
    <w:rsid w:val="00867C10"/>
    <w:rsid w:val="00870439"/>
    <w:rsid w:val="00870978"/>
    <w:rsid w:val="00870DA1"/>
    <w:rsid w:val="00872074"/>
    <w:rsid w:val="00875D13"/>
    <w:rsid w:val="00876F81"/>
    <w:rsid w:val="00883642"/>
    <w:rsid w:val="00883F93"/>
    <w:rsid w:val="00884DB3"/>
    <w:rsid w:val="00884E2F"/>
    <w:rsid w:val="00885A9D"/>
    <w:rsid w:val="008864F6"/>
    <w:rsid w:val="00887DF6"/>
    <w:rsid w:val="00890352"/>
    <w:rsid w:val="0089049D"/>
    <w:rsid w:val="00890ED6"/>
    <w:rsid w:val="008928C9"/>
    <w:rsid w:val="008938DC"/>
    <w:rsid w:val="00893FD1"/>
    <w:rsid w:val="00894836"/>
    <w:rsid w:val="00895172"/>
    <w:rsid w:val="00895680"/>
    <w:rsid w:val="00896DFF"/>
    <w:rsid w:val="0089762C"/>
    <w:rsid w:val="008A00A8"/>
    <w:rsid w:val="008A0F23"/>
    <w:rsid w:val="008A1893"/>
    <w:rsid w:val="008A769A"/>
    <w:rsid w:val="008A76B4"/>
    <w:rsid w:val="008B0C9C"/>
    <w:rsid w:val="008B166D"/>
    <w:rsid w:val="008B17F4"/>
    <w:rsid w:val="008B323B"/>
    <w:rsid w:val="008B3615"/>
    <w:rsid w:val="008B3DF8"/>
    <w:rsid w:val="008B4AC4"/>
    <w:rsid w:val="008B50C8"/>
    <w:rsid w:val="008B5281"/>
    <w:rsid w:val="008B7E05"/>
    <w:rsid w:val="008C1797"/>
    <w:rsid w:val="008C1E40"/>
    <w:rsid w:val="008C219C"/>
    <w:rsid w:val="008C475E"/>
    <w:rsid w:val="008C619A"/>
    <w:rsid w:val="008D0CE8"/>
    <w:rsid w:val="008D0E39"/>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875"/>
    <w:rsid w:val="008E6A84"/>
    <w:rsid w:val="008F0CDC"/>
    <w:rsid w:val="008F17A3"/>
    <w:rsid w:val="008F1ED3"/>
    <w:rsid w:val="008F49E9"/>
    <w:rsid w:val="008F4C29"/>
    <w:rsid w:val="008F70BD"/>
    <w:rsid w:val="008F788F"/>
    <w:rsid w:val="008F7EA2"/>
    <w:rsid w:val="009003BD"/>
    <w:rsid w:val="00900F9C"/>
    <w:rsid w:val="00902100"/>
    <w:rsid w:val="00902722"/>
    <w:rsid w:val="009027BC"/>
    <w:rsid w:val="009062E6"/>
    <w:rsid w:val="009068CB"/>
    <w:rsid w:val="00906C0D"/>
    <w:rsid w:val="00911BE5"/>
    <w:rsid w:val="00913CA9"/>
    <w:rsid w:val="009145AE"/>
    <w:rsid w:val="009146CE"/>
    <w:rsid w:val="00914CA7"/>
    <w:rsid w:val="00915C3E"/>
    <w:rsid w:val="009161A8"/>
    <w:rsid w:val="0091673D"/>
    <w:rsid w:val="00922791"/>
    <w:rsid w:val="009245F5"/>
    <w:rsid w:val="009249EC"/>
    <w:rsid w:val="009273B3"/>
    <w:rsid w:val="009305B5"/>
    <w:rsid w:val="00931B03"/>
    <w:rsid w:val="009322D0"/>
    <w:rsid w:val="00934C12"/>
    <w:rsid w:val="00934DE2"/>
    <w:rsid w:val="009374E4"/>
    <w:rsid w:val="009429D5"/>
    <w:rsid w:val="00942BF1"/>
    <w:rsid w:val="00943654"/>
    <w:rsid w:val="00945180"/>
    <w:rsid w:val="00945428"/>
    <w:rsid w:val="0094607B"/>
    <w:rsid w:val="00952A2C"/>
    <w:rsid w:val="00952C52"/>
    <w:rsid w:val="00953604"/>
    <w:rsid w:val="009610DC"/>
    <w:rsid w:val="00961490"/>
    <w:rsid w:val="0096381A"/>
    <w:rsid w:val="00965E04"/>
    <w:rsid w:val="009674AD"/>
    <w:rsid w:val="00967546"/>
    <w:rsid w:val="0097094E"/>
    <w:rsid w:val="00970CDC"/>
    <w:rsid w:val="00975AE7"/>
    <w:rsid w:val="00976F45"/>
    <w:rsid w:val="00977010"/>
    <w:rsid w:val="00977D02"/>
    <w:rsid w:val="009809BB"/>
    <w:rsid w:val="00982D22"/>
    <w:rsid w:val="0098364B"/>
    <w:rsid w:val="00983BF9"/>
    <w:rsid w:val="009911AF"/>
    <w:rsid w:val="00991875"/>
    <w:rsid w:val="00991F92"/>
    <w:rsid w:val="00992985"/>
    <w:rsid w:val="00993889"/>
    <w:rsid w:val="0099551B"/>
    <w:rsid w:val="00996B1B"/>
    <w:rsid w:val="00997521"/>
    <w:rsid w:val="00997BF1"/>
    <w:rsid w:val="009A089C"/>
    <w:rsid w:val="009A118E"/>
    <w:rsid w:val="009A21CD"/>
    <w:rsid w:val="009A278C"/>
    <w:rsid w:val="009A27AE"/>
    <w:rsid w:val="009A2BC2"/>
    <w:rsid w:val="009A3EEC"/>
    <w:rsid w:val="009A42C1"/>
    <w:rsid w:val="009A499D"/>
    <w:rsid w:val="009A5429"/>
    <w:rsid w:val="009A5A9D"/>
    <w:rsid w:val="009A72AD"/>
    <w:rsid w:val="009A7D20"/>
    <w:rsid w:val="009B09E0"/>
    <w:rsid w:val="009B0BC5"/>
    <w:rsid w:val="009B1247"/>
    <w:rsid w:val="009B6029"/>
    <w:rsid w:val="009B6971"/>
    <w:rsid w:val="009C27F1"/>
    <w:rsid w:val="009C3152"/>
    <w:rsid w:val="009C4CFA"/>
    <w:rsid w:val="009C4EB5"/>
    <w:rsid w:val="009C5070"/>
    <w:rsid w:val="009D0DC3"/>
    <w:rsid w:val="009D112C"/>
    <w:rsid w:val="009D2122"/>
    <w:rsid w:val="009D47FA"/>
    <w:rsid w:val="009D50D2"/>
    <w:rsid w:val="009D6BCA"/>
    <w:rsid w:val="009E0F62"/>
    <w:rsid w:val="009E354B"/>
    <w:rsid w:val="009E4A58"/>
    <w:rsid w:val="009E5096"/>
    <w:rsid w:val="009E5A2D"/>
    <w:rsid w:val="009E5AB2"/>
    <w:rsid w:val="009E6219"/>
    <w:rsid w:val="009E6432"/>
    <w:rsid w:val="009F03B3"/>
    <w:rsid w:val="009F1E97"/>
    <w:rsid w:val="009F3695"/>
    <w:rsid w:val="00A003E8"/>
    <w:rsid w:val="00A00479"/>
    <w:rsid w:val="00A01757"/>
    <w:rsid w:val="00A01E9F"/>
    <w:rsid w:val="00A028C0"/>
    <w:rsid w:val="00A02BAE"/>
    <w:rsid w:val="00A06A6B"/>
    <w:rsid w:val="00A071BA"/>
    <w:rsid w:val="00A07E47"/>
    <w:rsid w:val="00A11002"/>
    <w:rsid w:val="00A129D0"/>
    <w:rsid w:val="00A12C33"/>
    <w:rsid w:val="00A138BA"/>
    <w:rsid w:val="00A14C8E"/>
    <w:rsid w:val="00A153D9"/>
    <w:rsid w:val="00A15F09"/>
    <w:rsid w:val="00A169B6"/>
    <w:rsid w:val="00A20875"/>
    <w:rsid w:val="00A2271D"/>
    <w:rsid w:val="00A236E5"/>
    <w:rsid w:val="00A237D5"/>
    <w:rsid w:val="00A24362"/>
    <w:rsid w:val="00A24F7B"/>
    <w:rsid w:val="00A26E87"/>
    <w:rsid w:val="00A26F71"/>
    <w:rsid w:val="00A30EFC"/>
    <w:rsid w:val="00A3123E"/>
    <w:rsid w:val="00A31984"/>
    <w:rsid w:val="00A31CE6"/>
    <w:rsid w:val="00A32D73"/>
    <w:rsid w:val="00A32ECE"/>
    <w:rsid w:val="00A3367B"/>
    <w:rsid w:val="00A3597D"/>
    <w:rsid w:val="00A40091"/>
    <w:rsid w:val="00A4030F"/>
    <w:rsid w:val="00A409A9"/>
    <w:rsid w:val="00A41C79"/>
    <w:rsid w:val="00A41CB5"/>
    <w:rsid w:val="00A42CDF"/>
    <w:rsid w:val="00A4452E"/>
    <w:rsid w:val="00A4472C"/>
    <w:rsid w:val="00A44C51"/>
    <w:rsid w:val="00A44E69"/>
    <w:rsid w:val="00A45580"/>
    <w:rsid w:val="00A4661E"/>
    <w:rsid w:val="00A55BD6"/>
    <w:rsid w:val="00A55D50"/>
    <w:rsid w:val="00A57142"/>
    <w:rsid w:val="00A61FB7"/>
    <w:rsid w:val="00A6310C"/>
    <w:rsid w:val="00A648CD"/>
    <w:rsid w:val="00A6537A"/>
    <w:rsid w:val="00A67866"/>
    <w:rsid w:val="00A70B07"/>
    <w:rsid w:val="00A7194A"/>
    <w:rsid w:val="00A723F8"/>
    <w:rsid w:val="00A75CFA"/>
    <w:rsid w:val="00A77CCB"/>
    <w:rsid w:val="00A82BE8"/>
    <w:rsid w:val="00A8321A"/>
    <w:rsid w:val="00A83D8D"/>
    <w:rsid w:val="00A8444E"/>
    <w:rsid w:val="00A8446B"/>
    <w:rsid w:val="00A8473F"/>
    <w:rsid w:val="00A85AF5"/>
    <w:rsid w:val="00A862D6"/>
    <w:rsid w:val="00A8715E"/>
    <w:rsid w:val="00A915B2"/>
    <w:rsid w:val="00A9295B"/>
    <w:rsid w:val="00A93B09"/>
    <w:rsid w:val="00A952D7"/>
    <w:rsid w:val="00A95595"/>
    <w:rsid w:val="00A963F7"/>
    <w:rsid w:val="00A96AD8"/>
    <w:rsid w:val="00AA052C"/>
    <w:rsid w:val="00AA1E45"/>
    <w:rsid w:val="00AA2A24"/>
    <w:rsid w:val="00AA39BB"/>
    <w:rsid w:val="00AA4286"/>
    <w:rsid w:val="00AA456B"/>
    <w:rsid w:val="00AA57F5"/>
    <w:rsid w:val="00AA672E"/>
    <w:rsid w:val="00AA6EC9"/>
    <w:rsid w:val="00AA7F75"/>
    <w:rsid w:val="00AB3656"/>
    <w:rsid w:val="00AB6309"/>
    <w:rsid w:val="00AB6C5F"/>
    <w:rsid w:val="00AB7129"/>
    <w:rsid w:val="00AC19D4"/>
    <w:rsid w:val="00AC27A6"/>
    <w:rsid w:val="00AC29DA"/>
    <w:rsid w:val="00AC30F7"/>
    <w:rsid w:val="00AC3A5A"/>
    <w:rsid w:val="00AC4D95"/>
    <w:rsid w:val="00AC5DF4"/>
    <w:rsid w:val="00AD0AEF"/>
    <w:rsid w:val="00AD11B7"/>
    <w:rsid w:val="00AD1A94"/>
    <w:rsid w:val="00AD1C05"/>
    <w:rsid w:val="00AD1C51"/>
    <w:rsid w:val="00AD2278"/>
    <w:rsid w:val="00AD2F0B"/>
    <w:rsid w:val="00AD3367"/>
    <w:rsid w:val="00AD4126"/>
    <w:rsid w:val="00AD421C"/>
    <w:rsid w:val="00AD44FA"/>
    <w:rsid w:val="00AE0205"/>
    <w:rsid w:val="00AE070A"/>
    <w:rsid w:val="00AE101C"/>
    <w:rsid w:val="00AE5698"/>
    <w:rsid w:val="00AE5813"/>
    <w:rsid w:val="00AF0C18"/>
    <w:rsid w:val="00AF1780"/>
    <w:rsid w:val="00AF47C5"/>
    <w:rsid w:val="00AF5398"/>
    <w:rsid w:val="00B049AF"/>
    <w:rsid w:val="00B04C5E"/>
    <w:rsid w:val="00B07242"/>
    <w:rsid w:val="00B10534"/>
    <w:rsid w:val="00B113DB"/>
    <w:rsid w:val="00B11778"/>
    <w:rsid w:val="00B11D8A"/>
    <w:rsid w:val="00B12981"/>
    <w:rsid w:val="00B12CB0"/>
    <w:rsid w:val="00B138AA"/>
    <w:rsid w:val="00B145AE"/>
    <w:rsid w:val="00B147DD"/>
    <w:rsid w:val="00B1524F"/>
    <w:rsid w:val="00B156FD"/>
    <w:rsid w:val="00B15796"/>
    <w:rsid w:val="00B16965"/>
    <w:rsid w:val="00B1696D"/>
    <w:rsid w:val="00B16BD3"/>
    <w:rsid w:val="00B17BE4"/>
    <w:rsid w:val="00B17FFC"/>
    <w:rsid w:val="00B21F61"/>
    <w:rsid w:val="00B23045"/>
    <w:rsid w:val="00B261F1"/>
    <w:rsid w:val="00B265BC"/>
    <w:rsid w:val="00B301A2"/>
    <w:rsid w:val="00B317B4"/>
    <w:rsid w:val="00B31FB1"/>
    <w:rsid w:val="00B33952"/>
    <w:rsid w:val="00B33C5E"/>
    <w:rsid w:val="00B342F4"/>
    <w:rsid w:val="00B34369"/>
    <w:rsid w:val="00B34DC2"/>
    <w:rsid w:val="00B378E5"/>
    <w:rsid w:val="00B41415"/>
    <w:rsid w:val="00B41FC9"/>
    <w:rsid w:val="00B4346D"/>
    <w:rsid w:val="00B43BBD"/>
    <w:rsid w:val="00B440F4"/>
    <w:rsid w:val="00B447A5"/>
    <w:rsid w:val="00B4654C"/>
    <w:rsid w:val="00B469D5"/>
    <w:rsid w:val="00B47293"/>
    <w:rsid w:val="00B52120"/>
    <w:rsid w:val="00B52B7B"/>
    <w:rsid w:val="00B549A3"/>
    <w:rsid w:val="00B54ABC"/>
    <w:rsid w:val="00B56E1C"/>
    <w:rsid w:val="00B56FBE"/>
    <w:rsid w:val="00B62B58"/>
    <w:rsid w:val="00B65149"/>
    <w:rsid w:val="00B66567"/>
    <w:rsid w:val="00B66F52"/>
    <w:rsid w:val="00B66FE5"/>
    <w:rsid w:val="00B675B7"/>
    <w:rsid w:val="00B6768B"/>
    <w:rsid w:val="00B67B97"/>
    <w:rsid w:val="00B72880"/>
    <w:rsid w:val="00B758BF"/>
    <w:rsid w:val="00B827A6"/>
    <w:rsid w:val="00B831CE"/>
    <w:rsid w:val="00B86677"/>
    <w:rsid w:val="00B87131"/>
    <w:rsid w:val="00B90E52"/>
    <w:rsid w:val="00B9127B"/>
    <w:rsid w:val="00B91566"/>
    <w:rsid w:val="00B92D1E"/>
    <w:rsid w:val="00B9320C"/>
    <w:rsid w:val="00B939B1"/>
    <w:rsid w:val="00B96D40"/>
    <w:rsid w:val="00B97386"/>
    <w:rsid w:val="00BA0046"/>
    <w:rsid w:val="00BA1190"/>
    <w:rsid w:val="00BA190D"/>
    <w:rsid w:val="00BA263B"/>
    <w:rsid w:val="00BA2D37"/>
    <w:rsid w:val="00BA42B2"/>
    <w:rsid w:val="00BA58D4"/>
    <w:rsid w:val="00BA5B9E"/>
    <w:rsid w:val="00BA7C9A"/>
    <w:rsid w:val="00BB5F8F"/>
    <w:rsid w:val="00BB657A"/>
    <w:rsid w:val="00BC1A4E"/>
    <w:rsid w:val="00BC27E7"/>
    <w:rsid w:val="00BC3E6C"/>
    <w:rsid w:val="00BC5DC7"/>
    <w:rsid w:val="00BC6B8B"/>
    <w:rsid w:val="00BC73D8"/>
    <w:rsid w:val="00BD52D7"/>
    <w:rsid w:val="00BD5AD2"/>
    <w:rsid w:val="00BD6082"/>
    <w:rsid w:val="00BE08FB"/>
    <w:rsid w:val="00BE22F3"/>
    <w:rsid w:val="00BE2A76"/>
    <w:rsid w:val="00BE3898"/>
    <w:rsid w:val="00BE49EE"/>
    <w:rsid w:val="00BE5B52"/>
    <w:rsid w:val="00BE6695"/>
    <w:rsid w:val="00BE7B8D"/>
    <w:rsid w:val="00BF0930"/>
    <w:rsid w:val="00BF0993"/>
    <w:rsid w:val="00BF10A9"/>
    <w:rsid w:val="00BF11B9"/>
    <w:rsid w:val="00BF1703"/>
    <w:rsid w:val="00BF231C"/>
    <w:rsid w:val="00BF3BF3"/>
    <w:rsid w:val="00BF51E5"/>
    <w:rsid w:val="00BF74A6"/>
    <w:rsid w:val="00C013AD"/>
    <w:rsid w:val="00C04904"/>
    <w:rsid w:val="00C053B3"/>
    <w:rsid w:val="00C056B3"/>
    <w:rsid w:val="00C05F68"/>
    <w:rsid w:val="00C06E28"/>
    <w:rsid w:val="00C103E5"/>
    <w:rsid w:val="00C1182E"/>
    <w:rsid w:val="00C12A95"/>
    <w:rsid w:val="00C13319"/>
    <w:rsid w:val="00C13EE9"/>
    <w:rsid w:val="00C14D87"/>
    <w:rsid w:val="00C2053D"/>
    <w:rsid w:val="00C207AF"/>
    <w:rsid w:val="00C21540"/>
    <w:rsid w:val="00C21906"/>
    <w:rsid w:val="00C21BFA"/>
    <w:rsid w:val="00C22D2E"/>
    <w:rsid w:val="00C24411"/>
    <w:rsid w:val="00C24C8D"/>
    <w:rsid w:val="00C25BE3"/>
    <w:rsid w:val="00C25FE2"/>
    <w:rsid w:val="00C26B53"/>
    <w:rsid w:val="00C279B2"/>
    <w:rsid w:val="00C33E50"/>
    <w:rsid w:val="00C34C20"/>
    <w:rsid w:val="00C35A3E"/>
    <w:rsid w:val="00C35F1B"/>
    <w:rsid w:val="00C37D72"/>
    <w:rsid w:val="00C401C9"/>
    <w:rsid w:val="00C42130"/>
    <w:rsid w:val="00C423A4"/>
    <w:rsid w:val="00C44AC6"/>
    <w:rsid w:val="00C44BF5"/>
    <w:rsid w:val="00C4754C"/>
    <w:rsid w:val="00C51DB7"/>
    <w:rsid w:val="00C55232"/>
    <w:rsid w:val="00C553A4"/>
    <w:rsid w:val="00C55A06"/>
    <w:rsid w:val="00C55D03"/>
    <w:rsid w:val="00C601BC"/>
    <w:rsid w:val="00C60AC4"/>
    <w:rsid w:val="00C6329F"/>
    <w:rsid w:val="00C63340"/>
    <w:rsid w:val="00C63E37"/>
    <w:rsid w:val="00C643F9"/>
    <w:rsid w:val="00C64E95"/>
    <w:rsid w:val="00C655FD"/>
    <w:rsid w:val="00C71372"/>
    <w:rsid w:val="00C72410"/>
    <w:rsid w:val="00C7287F"/>
    <w:rsid w:val="00C72F0E"/>
    <w:rsid w:val="00C750E6"/>
    <w:rsid w:val="00C80948"/>
    <w:rsid w:val="00C80CB8"/>
    <w:rsid w:val="00C819F8"/>
    <w:rsid w:val="00C8248C"/>
    <w:rsid w:val="00C84E33"/>
    <w:rsid w:val="00C86D6F"/>
    <w:rsid w:val="00C9005C"/>
    <w:rsid w:val="00C905FC"/>
    <w:rsid w:val="00C92D03"/>
    <w:rsid w:val="00C9319C"/>
    <w:rsid w:val="00C9435D"/>
    <w:rsid w:val="00C9517F"/>
    <w:rsid w:val="00C9657B"/>
    <w:rsid w:val="00C96741"/>
    <w:rsid w:val="00C968A8"/>
    <w:rsid w:val="00CA2D1B"/>
    <w:rsid w:val="00CA4733"/>
    <w:rsid w:val="00CA662A"/>
    <w:rsid w:val="00CA7AFD"/>
    <w:rsid w:val="00CA7C3C"/>
    <w:rsid w:val="00CB0189"/>
    <w:rsid w:val="00CB0BA2"/>
    <w:rsid w:val="00CB1A42"/>
    <w:rsid w:val="00CB1B0C"/>
    <w:rsid w:val="00CB2C0B"/>
    <w:rsid w:val="00CB4064"/>
    <w:rsid w:val="00CB517D"/>
    <w:rsid w:val="00CB7D51"/>
    <w:rsid w:val="00CC038D"/>
    <w:rsid w:val="00CC13DE"/>
    <w:rsid w:val="00CC39FF"/>
    <w:rsid w:val="00CC3C2F"/>
    <w:rsid w:val="00CC4AC8"/>
    <w:rsid w:val="00CC5233"/>
    <w:rsid w:val="00CC5DE6"/>
    <w:rsid w:val="00CC6A6E"/>
    <w:rsid w:val="00CC6E4E"/>
    <w:rsid w:val="00CC6FE8"/>
    <w:rsid w:val="00CC7202"/>
    <w:rsid w:val="00CD047E"/>
    <w:rsid w:val="00CD2808"/>
    <w:rsid w:val="00CD28BF"/>
    <w:rsid w:val="00CD4092"/>
    <w:rsid w:val="00CD4A20"/>
    <w:rsid w:val="00CD50A1"/>
    <w:rsid w:val="00CD519E"/>
    <w:rsid w:val="00CD5298"/>
    <w:rsid w:val="00CE0C4F"/>
    <w:rsid w:val="00CE30EA"/>
    <w:rsid w:val="00CF048A"/>
    <w:rsid w:val="00CF155A"/>
    <w:rsid w:val="00CF2947"/>
    <w:rsid w:val="00CF44B1"/>
    <w:rsid w:val="00CF686F"/>
    <w:rsid w:val="00CF6E60"/>
    <w:rsid w:val="00CF7BCA"/>
    <w:rsid w:val="00D008FD"/>
    <w:rsid w:val="00D0321C"/>
    <w:rsid w:val="00D035EC"/>
    <w:rsid w:val="00D06AB1"/>
    <w:rsid w:val="00D072ED"/>
    <w:rsid w:val="00D074A5"/>
    <w:rsid w:val="00D07A16"/>
    <w:rsid w:val="00D1067E"/>
    <w:rsid w:val="00D10F50"/>
    <w:rsid w:val="00D11272"/>
    <w:rsid w:val="00D11320"/>
    <w:rsid w:val="00D126F5"/>
    <w:rsid w:val="00D1489E"/>
    <w:rsid w:val="00D15B62"/>
    <w:rsid w:val="00D20737"/>
    <w:rsid w:val="00D21C81"/>
    <w:rsid w:val="00D21E81"/>
    <w:rsid w:val="00D223DE"/>
    <w:rsid w:val="00D25E37"/>
    <w:rsid w:val="00D2661A"/>
    <w:rsid w:val="00D27387"/>
    <w:rsid w:val="00D27582"/>
    <w:rsid w:val="00D32719"/>
    <w:rsid w:val="00D33333"/>
    <w:rsid w:val="00D34D7F"/>
    <w:rsid w:val="00D352A2"/>
    <w:rsid w:val="00D40A83"/>
    <w:rsid w:val="00D4162B"/>
    <w:rsid w:val="00D4514F"/>
    <w:rsid w:val="00D451E2"/>
    <w:rsid w:val="00D4545E"/>
    <w:rsid w:val="00D456AD"/>
    <w:rsid w:val="00D45E89"/>
    <w:rsid w:val="00D45E8D"/>
    <w:rsid w:val="00D466AE"/>
    <w:rsid w:val="00D4734F"/>
    <w:rsid w:val="00D51BF3"/>
    <w:rsid w:val="00D52C41"/>
    <w:rsid w:val="00D63276"/>
    <w:rsid w:val="00D64FD0"/>
    <w:rsid w:val="00D661BE"/>
    <w:rsid w:val="00D66846"/>
    <w:rsid w:val="00D675FB"/>
    <w:rsid w:val="00D71F25"/>
    <w:rsid w:val="00D77031"/>
    <w:rsid w:val="00D8036E"/>
    <w:rsid w:val="00D817A6"/>
    <w:rsid w:val="00D8285B"/>
    <w:rsid w:val="00D84941"/>
    <w:rsid w:val="00D84FA1"/>
    <w:rsid w:val="00D851F0"/>
    <w:rsid w:val="00D86DB7"/>
    <w:rsid w:val="00D926D0"/>
    <w:rsid w:val="00D93030"/>
    <w:rsid w:val="00D950E1"/>
    <w:rsid w:val="00D952A6"/>
    <w:rsid w:val="00D97F99"/>
    <w:rsid w:val="00DA10D7"/>
    <w:rsid w:val="00DA19E7"/>
    <w:rsid w:val="00DA1E08"/>
    <w:rsid w:val="00DA1FA0"/>
    <w:rsid w:val="00DA24F8"/>
    <w:rsid w:val="00DA28E8"/>
    <w:rsid w:val="00DA38D3"/>
    <w:rsid w:val="00DA3932"/>
    <w:rsid w:val="00DA5809"/>
    <w:rsid w:val="00DA64F8"/>
    <w:rsid w:val="00DA6C15"/>
    <w:rsid w:val="00DA7370"/>
    <w:rsid w:val="00DA7FFD"/>
    <w:rsid w:val="00DB1921"/>
    <w:rsid w:val="00DB38EE"/>
    <w:rsid w:val="00DB498B"/>
    <w:rsid w:val="00DB66CA"/>
    <w:rsid w:val="00DB6BCA"/>
    <w:rsid w:val="00DC0321"/>
    <w:rsid w:val="00DC3067"/>
    <w:rsid w:val="00DC370B"/>
    <w:rsid w:val="00DC5B90"/>
    <w:rsid w:val="00DD00F2"/>
    <w:rsid w:val="00DD00FF"/>
    <w:rsid w:val="00DD0619"/>
    <w:rsid w:val="00DD07FB"/>
    <w:rsid w:val="00DD25B3"/>
    <w:rsid w:val="00DD25C6"/>
    <w:rsid w:val="00DD2663"/>
    <w:rsid w:val="00DD54B0"/>
    <w:rsid w:val="00DD57EE"/>
    <w:rsid w:val="00DD6BCC"/>
    <w:rsid w:val="00DE0A4B"/>
    <w:rsid w:val="00DE1BD5"/>
    <w:rsid w:val="00DE2410"/>
    <w:rsid w:val="00DE2939"/>
    <w:rsid w:val="00DE51F0"/>
    <w:rsid w:val="00DE6E81"/>
    <w:rsid w:val="00DE703F"/>
    <w:rsid w:val="00DE7595"/>
    <w:rsid w:val="00DF15BE"/>
    <w:rsid w:val="00DF1961"/>
    <w:rsid w:val="00DF29E3"/>
    <w:rsid w:val="00DF40DE"/>
    <w:rsid w:val="00DF44DE"/>
    <w:rsid w:val="00DF4F68"/>
    <w:rsid w:val="00DF5D75"/>
    <w:rsid w:val="00DF6A17"/>
    <w:rsid w:val="00DF6A2B"/>
    <w:rsid w:val="00E01138"/>
    <w:rsid w:val="00E016D5"/>
    <w:rsid w:val="00E02C25"/>
    <w:rsid w:val="00E02DFB"/>
    <w:rsid w:val="00E030F9"/>
    <w:rsid w:val="00E0311A"/>
    <w:rsid w:val="00E03138"/>
    <w:rsid w:val="00E0593E"/>
    <w:rsid w:val="00E06404"/>
    <w:rsid w:val="00E072EA"/>
    <w:rsid w:val="00E07909"/>
    <w:rsid w:val="00E10ADE"/>
    <w:rsid w:val="00E11A85"/>
    <w:rsid w:val="00E11B9E"/>
    <w:rsid w:val="00E12495"/>
    <w:rsid w:val="00E15CCD"/>
    <w:rsid w:val="00E202EF"/>
    <w:rsid w:val="00E210B5"/>
    <w:rsid w:val="00E22CAA"/>
    <w:rsid w:val="00E2552F"/>
    <w:rsid w:val="00E3137A"/>
    <w:rsid w:val="00E32B40"/>
    <w:rsid w:val="00E32CCF"/>
    <w:rsid w:val="00E34A98"/>
    <w:rsid w:val="00E356A0"/>
    <w:rsid w:val="00E35D1E"/>
    <w:rsid w:val="00E364F9"/>
    <w:rsid w:val="00E365FA"/>
    <w:rsid w:val="00E40C94"/>
    <w:rsid w:val="00E4355A"/>
    <w:rsid w:val="00E448E9"/>
    <w:rsid w:val="00E44A83"/>
    <w:rsid w:val="00E502C1"/>
    <w:rsid w:val="00E502DD"/>
    <w:rsid w:val="00E50D3A"/>
    <w:rsid w:val="00E51387"/>
    <w:rsid w:val="00E51E68"/>
    <w:rsid w:val="00E52EFD"/>
    <w:rsid w:val="00E5408A"/>
    <w:rsid w:val="00E56168"/>
    <w:rsid w:val="00E566EB"/>
    <w:rsid w:val="00E56800"/>
    <w:rsid w:val="00E60CD7"/>
    <w:rsid w:val="00E62213"/>
    <w:rsid w:val="00E62FF9"/>
    <w:rsid w:val="00E635D6"/>
    <w:rsid w:val="00E639BC"/>
    <w:rsid w:val="00E64EC0"/>
    <w:rsid w:val="00E6645F"/>
    <w:rsid w:val="00E664CC"/>
    <w:rsid w:val="00E70388"/>
    <w:rsid w:val="00E70F92"/>
    <w:rsid w:val="00E74C54"/>
    <w:rsid w:val="00E77A03"/>
    <w:rsid w:val="00E822E8"/>
    <w:rsid w:val="00E82554"/>
    <w:rsid w:val="00E82606"/>
    <w:rsid w:val="00E844CD"/>
    <w:rsid w:val="00E846C8"/>
    <w:rsid w:val="00E84957"/>
    <w:rsid w:val="00E84A55"/>
    <w:rsid w:val="00E84DC1"/>
    <w:rsid w:val="00E85BFF"/>
    <w:rsid w:val="00E878A0"/>
    <w:rsid w:val="00E87BD4"/>
    <w:rsid w:val="00E87C5E"/>
    <w:rsid w:val="00E90391"/>
    <w:rsid w:val="00E906C2"/>
    <w:rsid w:val="00E9311F"/>
    <w:rsid w:val="00E934D1"/>
    <w:rsid w:val="00E935FA"/>
    <w:rsid w:val="00E94AF0"/>
    <w:rsid w:val="00E95D13"/>
    <w:rsid w:val="00E95DD3"/>
    <w:rsid w:val="00E96229"/>
    <w:rsid w:val="00E969D5"/>
    <w:rsid w:val="00E96BDB"/>
    <w:rsid w:val="00EA3E97"/>
    <w:rsid w:val="00EA58D1"/>
    <w:rsid w:val="00EA61BC"/>
    <w:rsid w:val="00EA681A"/>
    <w:rsid w:val="00EA735B"/>
    <w:rsid w:val="00EB0250"/>
    <w:rsid w:val="00EB1249"/>
    <w:rsid w:val="00EB173C"/>
    <w:rsid w:val="00EB1E69"/>
    <w:rsid w:val="00EB2086"/>
    <w:rsid w:val="00EB5EDF"/>
    <w:rsid w:val="00EB60FE"/>
    <w:rsid w:val="00EB74DB"/>
    <w:rsid w:val="00EB7DC6"/>
    <w:rsid w:val="00EC5359"/>
    <w:rsid w:val="00EC562A"/>
    <w:rsid w:val="00ED067A"/>
    <w:rsid w:val="00ED2B50"/>
    <w:rsid w:val="00ED5AE3"/>
    <w:rsid w:val="00EE0350"/>
    <w:rsid w:val="00EE0719"/>
    <w:rsid w:val="00EE09EB"/>
    <w:rsid w:val="00EE0E80"/>
    <w:rsid w:val="00EE40AB"/>
    <w:rsid w:val="00EE613F"/>
    <w:rsid w:val="00EE7295"/>
    <w:rsid w:val="00EE7869"/>
    <w:rsid w:val="00EF054A"/>
    <w:rsid w:val="00EF3235"/>
    <w:rsid w:val="00EF7E72"/>
    <w:rsid w:val="00F006DF"/>
    <w:rsid w:val="00F03E12"/>
    <w:rsid w:val="00F06D37"/>
    <w:rsid w:val="00F07B9D"/>
    <w:rsid w:val="00F11586"/>
    <w:rsid w:val="00F1183B"/>
    <w:rsid w:val="00F11C9F"/>
    <w:rsid w:val="00F12263"/>
    <w:rsid w:val="00F12DCA"/>
    <w:rsid w:val="00F1409D"/>
    <w:rsid w:val="00F14214"/>
    <w:rsid w:val="00F146BD"/>
    <w:rsid w:val="00F157A9"/>
    <w:rsid w:val="00F25BB6"/>
    <w:rsid w:val="00F26B7E"/>
    <w:rsid w:val="00F27A3B"/>
    <w:rsid w:val="00F30668"/>
    <w:rsid w:val="00F33817"/>
    <w:rsid w:val="00F3525C"/>
    <w:rsid w:val="00F420D5"/>
    <w:rsid w:val="00F451EA"/>
    <w:rsid w:val="00F45447"/>
    <w:rsid w:val="00F456C6"/>
    <w:rsid w:val="00F4577B"/>
    <w:rsid w:val="00F46496"/>
    <w:rsid w:val="00F474D0"/>
    <w:rsid w:val="00F50179"/>
    <w:rsid w:val="00F50D50"/>
    <w:rsid w:val="00F510B5"/>
    <w:rsid w:val="00F51B50"/>
    <w:rsid w:val="00F56511"/>
    <w:rsid w:val="00F607B7"/>
    <w:rsid w:val="00F61218"/>
    <w:rsid w:val="00F6194E"/>
    <w:rsid w:val="00F623AC"/>
    <w:rsid w:val="00F6412A"/>
    <w:rsid w:val="00F65893"/>
    <w:rsid w:val="00F66A4A"/>
    <w:rsid w:val="00F7030E"/>
    <w:rsid w:val="00F71E22"/>
    <w:rsid w:val="00F72142"/>
    <w:rsid w:val="00F72AE7"/>
    <w:rsid w:val="00F74314"/>
    <w:rsid w:val="00F76877"/>
    <w:rsid w:val="00F84934"/>
    <w:rsid w:val="00F84FD0"/>
    <w:rsid w:val="00F859A8"/>
    <w:rsid w:val="00F86341"/>
    <w:rsid w:val="00F9108B"/>
    <w:rsid w:val="00F91349"/>
    <w:rsid w:val="00F93358"/>
    <w:rsid w:val="00F93A8A"/>
    <w:rsid w:val="00F95248"/>
    <w:rsid w:val="00F956A9"/>
    <w:rsid w:val="00F963ED"/>
    <w:rsid w:val="00F966CF"/>
    <w:rsid w:val="00F96CAE"/>
    <w:rsid w:val="00F97C99"/>
    <w:rsid w:val="00FA60A4"/>
    <w:rsid w:val="00FA662D"/>
    <w:rsid w:val="00FA73B1"/>
    <w:rsid w:val="00FA7A6A"/>
    <w:rsid w:val="00FB0CB9"/>
    <w:rsid w:val="00FB45F1"/>
    <w:rsid w:val="00FB4A72"/>
    <w:rsid w:val="00FB54E8"/>
    <w:rsid w:val="00FB5E6E"/>
    <w:rsid w:val="00FB5FE8"/>
    <w:rsid w:val="00FB7054"/>
    <w:rsid w:val="00FC17B7"/>
    <w:rsid w:val="00FC2CB7"/>
    <w:rsid w:val="00FC4090"/>
    <w:rsid w:val="00FC55B4"/>
    <w:rsid w:val="00FD00E6"/>
    <w:rsid w:val="00FD09A1"/>
    <w:rsid w:val="00FD1DED"/>
    <w:rsid w:val="00FD240E"/>
    <w:rsid w:val="00FD2A7C"/>
    <w:rsid w:val="00FD59EB"/>
    <w:rsid w:val="00FD6EDB"/>
    <w:rsid w:val="00FD7299"/>
    <w:rsid w:val="00FE1F0B"/>
    <w:rsid w:val="00FE1FBE"/>
    <w:rsid w:val="00FE3901"/>
    <w:rsid w:val="00FE4BCE"/>
    <w:rsid w:val="00FE53AD"/>
    <w:rsid w:val="00FE54AE"/>
    <w:rsid w:val="00FE576A"/>
    <w:rsid w:val="00FE61CF"/>
    <w:rsid w:val="00FE7E79"/>
    <w:rsid w:val="00FF35DE"/>
    <w:rsid w:val="00FF3E7D"/>
    <w:rsid w:val="00FF5B99"/>
    <w:rsid w:val="00FF730C"/>
    <w:rsid w:val="00FF73F4"/>
    <w:rsid w:val="00FF7CE4"/>
    <w:rsid w:val="00FF7E39"/>
    <w:rsid w:val="03AA4F38"/>
    <w:rsid w:val="03CA32B8"/>
    <w:rsid w:val="05DF5468"/>
    <w:rsid w:val="08A23BF6"/>
    <w:rsid w:val="0F3E1B85"/>
    <w:rsid w:val="118D61E3"/>
    <w:rsid w:val="18141913"/>
    <w:rsid w:val="199E6903"/>
    <w:rsid w:val="1DDF12A4"/>
    <w:rsid w:val="1EA44B3E"/>
    <w:rsid w:val="29A502DB"/>
    <w:rsid w:val="2B1D0879"/>
    <w:rsid w:val="2B7168E7"/>
    <w:rsid w:val="2E0B48D7"/>
    <w:rsid w:val="40F30C4E"/>
    <w:rsid w:val="4E1133A5"/>
    <w:rsid w:val="4E953B8F"/>
    <w:rsid w:val="5E6D432B"/>
    <w:rsid w:val="5F131141"/>
    <w:rsid w:val="6977185B"/>
    <w:rsid w:val="6E86735B"/>
    <w:rsid w:val="741F039C"/>
    <w:rsid w:val="7EBE5E6D"/>
    <w:rsid w:val="7FBF4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D54546D"/>
  <w15:docId w15:val="{2577645B-6181-40ED-AC80-E4944CC0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0" w:unhideWhenUsed="1" w:qFormat="1"/>
    <w:lsdException w:name="toc 9" w:uiPriority="0" w:unhideWhenUsed="1" w:qFormat="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c">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c"/>
    <w:next w:val="afffc"/>
    <w:link w:val="10"/>
    <w:qFormat/>
    <w:pPr>
      <w:keepNext/>
      <w:keepLines/>
      <w:spacing w:before="340" w:after="330" w:line="578" w:lineRule="auto"/>
      <w:outlineLvl w:val="0"/>
    </w:pPr>
    <w:rPr>
      <w:b/>
      <w:bCs/>
      <w:kern w:val="44"/>
      <w:sz w:val="44"/>
      <w:szCs w:val="44"/>
    </w:rPr>
  </w:style>
  <w:style w:type="paragraph" w:styleId="22">
    <w:name w:val="heading 2"/>
    <w:basedOn w:val="afffc"/>
    <w:next w:val="afffc"/>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0"/>
    <w:qFormat/>
    <w:pPr>
      <w:keepNext/>
      <w:keepLines/>
      <w:spacing w:before="260" w:after="260" w:line="416" w:lineRule="auto"/>
      <w:outlineLvl w:val="2"/>
    </w:pPr>
    <w:rPr>
      <w:b/>
      <w:bCs/>
      <w:sz w:val="32"/>
      <w:szCs w:val="32"/>
    </w:rPr>
  </w:style>
  <w:style w:type="paragraph" w:styleId="4">
    <w:name w:val="heading 4"/>
    <w:basedOn w:val="afffc"/>
    <w:next w:val="afffc"/>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0"/>
    <w:qFormat/>
    <w:pPr>
      <w:keepNext/>
      <w:keepLines/>
      <w:adjustRightInd/>
      <w:spacing w:before="280" w:after="290" w:line="376" w:lineRule="auto"/>
      <w:outlineLvl w:val="4"/>
    </w:pPr>
    <w:rPr>
      <w:b/>
      <w:bCs/>
      <w:sz w:val="28"/>
      <w:szCs w:val="28"/>
    </w:rPr>
  </w:style>
  <w:style w:type="paragraph" w:styleId="6">
    <w:name w:val="heading 6"/>
    <w:basedOn w:val="afffc"/>
    <w:next w:val="afffc"/>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0"/>
    <w:qFormat/>
    <w:pPr>
      <w:keepNext/>
      <w:keepLines/>
      <w:adjustRightInd/>
      <w:spacing w:before="240" w:after="64" w:line="320" w:lineRule="auto"/>
      <w:outlineLvl w:val="6"/>
    </w:pPr>
    <w:rPr>
      <w:b/>
      <w:bCs/>
      <w:sz w:val="24"/>
      <w:szCs w:val="24"/>
    </w:rPr>
  </w:style>
  <w:style w:type="paragraph" w:styleId="8">
    <w:name w:val="heading 8"/>
    <w:basedOn w:val="afffc"/>
    <w:next w:val="afffc"/>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0"/>
    <w:qFormat/>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paragraph" w:styleId="TOC7">
    <w:name w:val="toc 7"/>
    <w:basedOn w:val="afffc"/>
    <w:next w:val="afffc"/>
    <w:uiPriority w:val="39"/>
    <w:unhideWhenUsed/>
    <w:qFormat/>
    <w:pPr>
      <w:ind w:left="1260"/>
      <w:jc w:val="left"/>
    </w:pPr>
    <w:rPr>
      <w:rFonts w:asciiTheme="minorHAnsi" w:eastAsiaTheme="minorHAnsi"/>
      <w:sz w:val="18"/>
      <w:szCs w:val="18"/>
    </w:rPr>
  </w:style>
  <w:style w:type="paragraph" w:styleId="affff0">
    <w:name w:val="Normal Indent"/>
    <w:basedOn w:val="afffc"/>
    <w:qFormat/>
    <w:pPr>
      <w:ind w:firstLine="420"/>
    </w:pPr>
  </w:style>
  <w:style w:type="paragraph" w:styleId="affff1">
    <w:name w:val="annotation text"/>
    <w:basedOn w:val="afffc"/>
    <w:link w:val="affff2"/>
    <w:uiPriority w:val="99"/>
    <w:semiHidden/>
    <w:unhideWhenUsed/>
    <w:qFormat/>
    <w:pPr>
      <w:jc w:val="left"/>
    </w:pPr>
  </w:style>
  <w:style w:type="paragraph" w:styleId="affff3">
    <w:name w:val="Body Text"/>
    <w:basedOn w:val="afffc"/>
    <w:link w:val="affff4"/>
    <w:qFormat/>
    <w:pPr>
      <w:spacing w:after="120"/>
    </w:pPr>
  </w:style>
  <w:style w:type="paragraph" w:styleId="TOC5">
    <w:name w:val="toc 5"/>
    <w:basedOn w:val="afffc"/>
    <w:next w:val="afffc"/>
    <w:uiPriority w:val="39"/>
    <w:unhideWhenUsed/>
    <w:qFormat/>
    <w:pPr>
      <w:ind w:left="840"/>
      <w:jc w:val="left"/>
    </w:pPr>
    <w:rPr>
      <w:rFonts w:asciiTheme="minorHAnsi" w:eastAsiaTheme="minorHAnsi"/>
      <w:sz w:val="18"/>
      <w:szCs w:val="18"/>
    </w:rPr>
  </w:style>
  <w:style w:type="paragraph" w:styleId="TOC3">
    <w:name w:val="toc 3"/>
    <w:basedOn w:val="afffc"/>
    <w:next w:val="afffc"/>
    <w:uiPriority w:val="39"/>
    <w:unhideWhenUsed/>
    <w:qFormat/>
    <w:pPr>
      <w:ind w:left="420"/>
      <w:jc w:val="left"/>
    </w:pPr>
    <w:rPr>
      <w:rFonts w:asciiTheme="minorHAnsi" w:eastAsiaTheme="minorHAnsi"/>
      <w:i/>
      <w:iCs/>
      <w:sz w:val="20"/>
      <w:szCs w:val="20"/>
    </w:rPr>
  </w:style>
  <w:style w:type="paragraph" w:styleId="TOC8">
    <w:name w:val="toc 8"/>
    <w:basedOn w:val="afffc"/>
    <w:next w:val="afffc"/>
    <w:autoRedefine/>
    <w:unhideWhenUsed/>
    <w:qFormat/>
    <w:pPr>
      <w:ind w:left="1470"/>
      <w:jc w:val="left"/>
    </w:pPr>
    <w:rPr>
      <w:rFonts w:asciiTheme="minorHAnsi" w:eastAsiaTheme="minorHAnsi"/>
      <w:sz w:val="18"/>
      <w:szCs w:val="18"/>
    </w:rPr>
  </w:style>
  <w:style w:type="paragraph" w:styleId="affff5">
    <w:name w:val="Balloon Text"/>
    <w:basedOn w:val="afffc"/>
    <w:link w:val="affff6"/>
    <w:uiPriority w:val="99"/>
    <w:semiHidden/>
    <w:unhideWhenUsed/>
    <w:qFormat/>
    <w:rPr>
      <w:sz w:val="18"/>
      <w:szCs w:val="18"/>
    </w:rPr>
  </w:style>
  <w:style w:type="paragraph" w:styleId="affff7">
    <w:name w:val="footer"/>
    <w:basedOn w:val="afffc"/>
    <w:link w:val="affff8"/>
    <w:uiPriority w:val="99"/>
    <w:qFormat/>
    <w:pPr>
      <w:tabs>
        <w:tab w:val="center" w:pos="4153"/>
        <w:tab w:val="right" w:pos="8306"/>
      </w:tabs>
      <w:adjustRightInd/>
      <w:snapToGrid w:val="0"/>
      <w:spacing w:line="240" w:lineRule="auto"/>
      <w:jc w:val="right"/>
    </w:pPr>
    <w:rPr>
      <w:rFonts w:ascii="宋体"/>
      <w:sz w:val="18"/>
      <w:szCs w:val="18"/>
    </w:rPr>
  </w:style>
  <w:style w:type="paragraph" w:styleId="affff9">
    <w:name w:val="header"/>
    <w:basedOn w:val="afffc"/>
    <w:link w:val="affffa"/>
    <w:uiPriority w:val="99"/>
    <w:qFormat/>
    <w:pPr>
      <w:tabs>
        <w:tab w:val="center" w:pos="4153"/>
        <w:tab w:val="right" w:pos="8306"/>
      </w:tabs>
      <w:adjustRightInd/>
      <w:snapToGrid w:val="0"/>
      <w:jc w:val="center"/>
    </w:pPr>
    <w:rPr>
      <w:sz w:val="18"/>
      <w:szCs w:val="18"/>
    </w:rPr>
  </w:style>
  <w:style w:type="paragraph" w:styleId="TOC1">
    <w:name w:val="toc 1"/>
    <w:basedOn w:val="afffc"/>
    <w:next w:val="afffc"/>
    <w:uiPriority w:val="39"/>
    <w:unhideWhenUsed/>
    <w:qFormat/>
    <w:pPr>
      <w:spacing w:before="120" w:after="120"/>
      <w:jc w:val="left"/>
    </w:pPr>
    <w:rPr>
      <w:rFonts w:asciiTheme="minorHAnsi" w:eastAsiaTheme="minorHAnsi"/>
      <w:b/>
      <w:bCs/>
      <w:caps/>
      <w:sz w:val="20"/>
      <w:szCs w:val="20"/>
    </w:rPr>
  </w:style>
  <w:style w:type="paragraph" w:styleId="TOC4">
    <w:name w:val="toc 4"/>
    <w:basedOn w:val="afffc"/>
    <w:next w:val="afffc"/>
    <w:uiPriority w:val="39"/>
    <w:unhideWhenUsed/>
    <w:qFormat/>
    <w:pPr>
      <w:ind w:left="630"/>
      <w:jc w:val="left"/>
    </w:pPr>
    <w:rPr>
      <w:rFonts w:asciiTheme="minorHAnsi" w:eastAsiaTheme="minorHAnsi"/>
      <w:sz w:val="18"/>
      <w:szCs w:val="18"/>
    </w:rPr>
  </w:style>
  <w:style w:type="paragraph" w:styleId="affffb">
    <w:name w:val="footnote text"/>
    <w:basedOn w:val="afffc"/>
    <w:next w:val="afffc"/>
    <w:link w:val="affffc"/>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c"/>
    <w:next w:val="afffc"/>
    <w:uiPriority w:val="39"/>
    <w:unhideWhenUsed/>
    <w:qFormat/>
    <w:pPr>
      <w:ind w:left="1050"/>
      <w:jc w:val="left"/>
    </w:pPr>
    <w:rPr>
      <w:rFonts w:asciiTheme="minorHAnsi" w:eastAsiaTheme="minorHAnsi"/>
      <w:sz w:val="18"/>
      <w:szCs w:val="18"/>
    </w:rPr>
  </w:style>
  <w:style w:type="paragraph" w:styleId="affffd">
    <w:name w:val="table of figures"/>
    <w:basedOn w:val="afffc"/>
    <w:next w:val="afffc"/>
    <w:semiHidden/>
    <w:qFormat/>
    <w:pPr>
      <w:adjustRightInd/>
      <w:spacing w:line="240" w:lineRule="auto"/>
      <w:jc w:val="left"/>
    </w:pPr>
    <w:rPr>
      <w:szCs w:val="24"/>
    </w:rPr>
  </w:style>
  <w:style w:type="paragraph" w:styleId="TOC2">
    <w:name w:val="toc 2"/>
    <w:basedOn w:val="afffc"/>
    <w:next w:val="afffc"/>
    <w:uiPriority w:val="39"/>
    <w:unhideWhenUsed/>
    <w:qFormat/>
    <w:pPr>
      <w:ind w:left="210"/>
      <w:jc w:val="left"/>
    </w:pPr>
    <w:rPr>
      <w:rFonts w:asciiTheme="minorHAnsi" w:eastAsiaTheme="minorHAnsi"/>
      <w:smallCaps/>
      <w:sz w:val="20"/>
      <w:szCs w:val="20"/>
    </w:rPr>
  </w:style>
  <w:style w:type="paragraph" w:styleId="TOC9">
    <w:name w:val="toc 9"/>
    <w:basedOn w:val="afffc"/>
    <w:next w:val="afffc"/>
    <w:autoRedefine/>
    <w:unhideWhenUsed/>
    <w:qFormat/>
    <w:pPr>
      <w:ind w:left="1680"/>
      <w:jc w:val="left"/>
    </w:pPr>
    <w:rPr>
      <w:rFonts w:asciiTheme="minorHAnsi" w:eastAsiaTheme="minorHAnsi"/>
      <w:sz w:val="18"/>
      <w:szCs w:val="18"/>
    </w:rPr>
  </w:style>
  <w:style w:type="paragraph" w:styleId="affffe">
    <w:name w:val="Title"/>
    <w:basedOn w:val="afffc"/>
    <w:link w:val="afffff"/>
    <w:qFormat/>
    <w:pPr>
      <w:spacing w:before="240" w:after="60"/>
      <w:jc w:val="center"/>
      <w:outlineLvl w:val="0"/>
    </w:pPr>
    <w:rPr>
      <w:rFonts w:ascii="Arial" w:hAnsi="Arial" w:cs="Arial"/>
      <w:b/>
      <w:bCs/>
      <w:sz w:val="32"/>
      <w:szCs w:val="32"/>
    </w:rPr>
  </w:style>
  <w:style w:type="paragraph" w:styleId="afffff0">
    <w:name w:val="annotation subject"/>
    <w:basedOn w:val="affff1"/>
    <w:next w:val="affff1"/>
    <w:link w:val="afffff1"/>
    <w:uiPriority w:val="99"/>
    <w:semiHidden/>
    <w:unhideWhenUsed/>
    <w:qFormat/>
    <w:rPr>
      <w:b/>
      <w:bCs/>
    </w:rPr>
  </w:style>
  <w:style w:type="table" w:styleId="afffff2">
    <w:name w:val="Table Grid"/>
    <w:basedOn w:val="afff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Strong"/>
    <w:uiPriority w:val="22"/>
    <w:qFormat/>
    <w:rPr>
      <w:b/>
      <w:bCs/>
    </w:rPr>
  </w:style>
  <w:style w:type="character" w:styleId="afffff4">
    <w:name w:val="page number"/>
    <w:qFormat/>
    <w:rPr>
      <w:rFonts w:ascii="宋体" w:eastAsia="宋体" w:hAnsi="Times New Roman"/>
      <w:sz w:val="18"/>
    </w:rPr>
  </w:style>
  <w:style w:type="character" w:styleId="afffff5">
    <w:name w:val="Emphasis"/>
    <w:uiPriority w:val="20"/>
    <w:qFormat/>
    <w:rPr>
      <w:i/>
      <w:iCs/>
    </w:rPr>
  </w:style>
  <w:style w:type="character" w:styleId="afffff6">
    <w:name w:val="Hyperlink"/>
    <w:uiPriority w:val="99"/>
    <w:qFormat/>
    <w:rPr>
      <w:rFonts w:ascii="宋体" w:eastAsia="宋体" w:hAnsi="Times New Roman"/>
      <w:color w:val="auto"/>
      <w:spacing w:val="0"/>
      <w:w w:val="100"/>
      <w:position w:val="0"/>
      <w:sz w:val="21"/>
      <w:u w:val="none"/>
      <w:vertAlign w:val="baseline"/>
    </w:rPr>
  </w:style>
  <w:style w:type="character" w:styleId="afffff7">
    <w:name w:val="annotation reference"/>
    <w:basedOn w:val="afffd"/>
    <w:uiPriority w:val="99"/>
    <w:semiHidden/>
    <w:unhideWhenUsed/>
    <w:qFormat/>
    <w:rPr>
      <w:sz w:val="21"/>
      <w:szCs w:val="21"/>
    </w:rPr>
  </w:style>
  <w:style w:type="character" w:styleId="afffff8">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a">
    <w:name w:val="页眉 字符"/>
    <w:link w:val="affff9"/>
    <w:uiPriority w:val="99"/>
    <w:qFormat/>
    <w:rPr>
      <w:rFonts w:ascii="Times New Roman" w:eastAsia="宋体" w:hAnsi="Times New Roman" w:cs="Times New Roman"/>
      <w:sz w:val="18"/>
      <w:szCs w:val="18"/>
    </w:rPr>
  </w:style>
  <w:style w:type="character" w:customStyle="1" w:styleId="affff8">
    <w:name w:val="页脚 字符"/>
    <w:link w:val="affff7"/>
    <w:uiPriority w:val="99"/>
    <w:qFormat/>
    <w:rPr>
      <w:rFonts w:ascii="宋体" w:eastAsia="宋体" w:hAnsi="Times New Roman" w:cs="Times New Roman"/>
      <w:sz w:val="18"/>
      <w:szCs w:val="18"/>
    </w:rPr>
  </w:style>
  <w:style w:type="character" w:customStyle="1" w:styleId="affff6">
    <w:name w:val="批注框文本 字符"/>
    <w:link w:val="affff5"/>
    <w:uiPriority w:val="99"/>
    <w:semiHidden/>
    <w:qFormat/>
    <w:rPr>
      <w:sz w:val="18"/>
      <w:szCs w:val="18"/>
    </w:rPr>
  </w:style>
  <w:style w:type="paragraph" w:styleId="afffff9">
    <w:name w:val="Quote"/>
    <w:basedOn w:val="afffc"/>
    <w:next w:val="afffc"/>
    <w:link w:val="afffffa"/>
    <w:uiPriority w:val="29"/>
    <w:qFormat/>
    <w:rPr>
      <w:i/>
      <w:iCs/>
      <w:color w:val="000000"/>
    </w:rPr>
  </w:style>
  <w:style w:type="character" w:customStyle="1" w:styleId="afffffa">
    <w:name w:val="引用 字符"/>
    <w:link w:val="afffff9"/>
    <w:uiPriority w:val="29"/>
    <w:qFormat/>
    <w:rPr>
      <w:i/>
      <w:iCs/>
      <w:color w:val="000000"/>
    </w:rPr>
  </w:style>
  <w:style w:type="character" w:customStyle="1" w:styleId="afffff">
    <w:name w:val="标题 字符"/>
    <w:link w:val="affffe"/>
    <w:qFormat/>
    <w:rPr>
      <w:rFonts w:ascii="Arial" w:eastAsia="宋体" w:hAnsi="Arial" w:cs="Arial"/>
      <w:b/>
      <w:bCs/>
      <w:sz w:val="32"/>
      <w:szCs w:val="32"/>
    </w:rPr>
  </w:style>
  <w:style w:type="paragraph" w:customStyle="1" w:styleId="afffffb">
    <w:name w:val="标准标志"/>
    <w:next w:val="afffc"/>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c">
    <w:name w:val="标准称谓"/>
    <w:next w:val="afffc"/>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d">
    <w:name w:val="标准文件_页脚偶数页"/>
    <w:qFormat/>
    <w:pPr>
      <w:ind w:left="198"/>
    </w:pPr>
    <w:rPr>
      <w:rFonts w:ascii="宋体"/>
      <w:sz w:val="18"/>
    </w:rPr>
  </w:style>
  <w:style w:type="paragraph" w:customStyle="1" w:styleId="afffffe">
    <w:name w:val="标准文件_页脚奇数页"/>
    <w:qFormat/>
    <w:pPr>
      <w:ind w:right="227"/>
      <w:jc w:val="right"/>
    </w:pPr>
    <w:rPr>
      <w:rFonts w:ascii="宋体"/>
      <w:sz w:val="18"/>
    </w:rPr>
  </w:style>
  <w:style w:type="paragraph" w:customStyle="1" w:styleId="affffff">
    <w:name w:val="标准书眉一"/>
    <w:qFormat/>
    <w:pPr>
      <w:jc w:val="both"/>
    </w:pPr>
  </w:style>
  <w:style w:type="paragraph" w:customStyle="1" w:styleId="ICS">
    <w:name w:val="标准文件_ICS"/>
    <w:basedOn w:val="afffc"/>
    <w:qFormat/>
    <w:pPr>
      <w:spacing w:line="0" w:lineRule="atLeast"/>
    </w:pPr>
    <w:rPr>
      <w:rFonts w:ascii="黑体" w:eastAsia="黑体" w:hAnsi="宋体"/>
    </w:rPr>
  </w:style>
  <w:style w:type="paragraph" w:customStyle="1" w:styleId="affffff0">
    <w:name w:val="标准文件_标准正文"/>
    <w:basedOn w:val="afffc"/>
    <w:next w:val="affffff1"/>
    <w:qFormat/>
    <w:pPr>
      <w:snapToGrid w:val="0"/>
      <w:ind w:firstLineChars="200" w:firstLine="200"/>
    </w:pPr>
    <w:rPr>
      <w:kern w:val="0"/>
    </w:rPr>
  </w:style>
  <w:style w:type="paragraph" w:customStyle="1" w:styleId="affffff1">
    <w:name w:val="标准文件_段"/>
    <w:link w:val="Char"/>
    <w:qFormat/>
    <w:pPr>
      <w:autoSpaceDE w:val="0"/>
      <w:autoSpaceDN w:val="0"/>
      <w:ind w:firstLineChars="200" w:firstLine="200"/>
      <w:jc w:val="both"/>
    </w:pPr>
    <w:rPr>
      <w:rFonts w:ascii="宋体"/>
      <w:sz w:val="21"/>
    </w:rPr>
  </w:style>
  <w:style w:type="paragraph" w:customStyle="1" w:styleId="affffff2">
    <w:name w:val="标准文件_版本"/>
    <w:basedOn w:val="affffff0"/>
    <w:qFormat/>
    <w:pPr>
      <w:adjustRightInd/>
      <w:snapToGrid/>
      <w:ind w:firstLineChars="0" w:firstLine="0"/>
    </w:pPr>
    <w:rPr>
      <w:rFonts w:ascii="宋体" w:hAnsi="宋体"/>
      <w:kern w:val="2"/>
    </w:rPr>
  </w:style>
  <w:style w:type="paragraph" w:customStyle="1" w:styleId="affffff3">
    <w:name w:val="标准文件_标准部门"/>
    <w:basedOn w:val="afffc"/>
    <w:qFormat/>
    <w:pPr>
      <w:jc w:val="center"/>
    </w:pPr>
    <w:rPr>
      <w:rFonts w:ascii="黑体" w:eastAsia="黑体"/>
      <w:kern w:val="0"/>
      <w:sz w:val="44"/>
    </w:rPr>
  </w:style>
  <w:style w:type="paragraph" w:customStyle="1" w:styleId="affffff4">
    <w:name w:val="标准文件_标准代替"/>
    <w:basedOn w:val="afffc"/>
    <w:next w:val="afffc"/>
    <w:qFormat/>
    <w:pPr>
      <w:spacing w:line="310" w:lineRule="exact"/>
      <w:jc w:val="right"/>
    </w:pPr>
    <w:rPr>
      <w:rFonts w:ascii="宋体" w:hAnsi="宋体"/>
      <w:kern w:val="0"/>
    </w:rPr>
  </w:style>
  <w:style w:type="paragraph" w:customStyle="1" w:styleId="affffff5">
    <w:name w:val="标准文件_标准名称标题"/>
    <w:basedOn w:val="afffc"/>
    <w:next w:val="afffc"/>
    <w:qFormat/>
    <w:pPr>
      <w:widowControl/>
      <w:shd w:val="clear" w:color="FFFFFF" w:fill="FFFFFF"/>
      <w:adjustRightInd/>
      <w:spacing w:before="640" w:after="100"/>
      <w:jc w:val="center"/>
    </w:pPr>
    <w:rPr>
      <w:rFonts w:ascii="黑体" w:eastAsia="黑体"/>
      <w:kern w:val="0"/>
      <w:sz w:val="32"/>
    </w:rPr>
  </w:style>
  <w:style w:type="paragraph" w:customStyle="1" w:styleId="affffff6">
    <w:name w:val="标准文件_页眉奇数页"/>
    <w:next w:val="afffc"/>
    <w:qFormat/>
    <w:pPr>
      <w:tabs>
        <w:tab w:val="center" w:pos="4154"/>
        <w:tab w:val="right" w:pos="8306"/>
      </w:tabs>
      <w:spacing w:after="120"/>
      <w:jc w:val="right"/>
    </w:pPr>
    <w:rPr>
      <w:rFonts w:ascii="黑体" w:eastAsia="黑体" w:hAnsi="宋体"/>
      <w:sz w:val="21"/>
    </w:rPr>
  </w:style>
  <w:style w:type="paragraph" w:customStyle="1" w:styleId="affffff7">
    <w:name w:val="标准文件_页眉偶数页"/>
    <w:basedOn w:val="affffff6"/>
    <w:next w:val="afffc"/>
    <w:qFormat/>
    <w:pPr>
      <w:jc w:val="left"/>
    </w:pPr>
  </w:style>
  <w:style w:type="paragraph" w:customStyle="1" w:styleId="affffff8">
    <w:name w:val="标准文件_参考文献标题"/>
    <w:basedOn w:val="afffc"/>
    <w:next w:val="afffc"/>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tabs>
        <w:tab w:val="clear" w:pos="1646"/>
        <w:tab w:val="left" w:pos="360"/>
      </w:tabs>
      <w:ind w:left="0" w:firstLine="0"/>
    </w:pPr>
    <w:rPr>
      <w:rFonts w:ascii="宋体"/>
    </w:rPr>
  </w:style>
  <w:style w:type="paragraph" w:customStyle="1" w:styleId="afff5">
    <w:name w:val="标准文件_二级条标题"/>
    <w:next w:val="affffff1"/>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9">
    <w:name w:val="标准文件_发布"/>
    <w:qFormat/>
    <w:rPr>
      <w:rFonts w:ascii="黑体" w:eastAsia="黑体"/>
      <w:spacing w:val="0"/>
      <w:w w:val="100"/>
      <w:position w:val="3"/>
      <w:sz w:val="28"/>
    </w:rPr>
  </w:style>
  <w:style w:type="paragraph" w:customStyle="1" w:styleId="ad">
    <w:name w:val="标准文件_方框数字列项"/>
    <w:basedOn w:val="affffff1"/>
    <w:qFormat/>
    <w:pPr>
      <w:numPr>
        <w:numId w:val="3"/>
      </w:numPr>
      <w:ind w:firstLineChars="0" w:firstLine="0"/>
    </w:pPr>
  </w:style>
  <w:style w:type="paragraph" w:customStyle="1" w:styleId="affffffa">
    <w:name w:val="标准文件_封面标准编号"/>
    <w:basedOn w:val="afffc"/>
    <w:next w:val="affffff4"/>
    <w:qFormat/>
    <w:pPr>
      <w:spacing w:line="310" w:lineRule="exact"/>
      <w:jc w:val="right"/>
    </w:pPr>
    <w:rPr>
      <w:rFonts w:ascii="黑体" w:eastAsia="黑体"/>
      <w:kern w:val="0"/>
      <w:sz w:val="28"/>
    </w:rPr>
  </w:style>
  <w:style w:type="paragraph" w:customStyle="1" w:styleId="affffffb">
    <w:name w:val="标准文件_封面标准分类号"/>
    <w:basedOn w:val="afffc"/>
    <w:qFormat/>
    <w:rPr>
      <w:rFonts w:ascii="黑体" w:eastAsia="黑体"/>
      <w:b/>
      <w:kern w:val="0"/>
      <w:sz w:val="28"/>
    </w:rPr>
  </w:style>
  <w:style w:type="paragraph" w:customStyle="1" w:styleId="affffffc">
    <w:name w:val="标准文件_封面标准名称"/>
    <w:basedOn w:val="afffc"/>
    <w:qFormat/>
    <w:pPr>
      <w:spacing w:line="240" w:lineRule="auto"/>
      <w:jc w:val="center"/>
    </w:pPr>
    <w:rPr>
      <w:rFonts w:ascii="黑体" w:eastAsia="黑体"/>
      <w:kern w:val="0"/>
      <w:sz w:val="52"/>
    </w:rPr>
  </w:style>
  <w:style w:type="paragraph" w:customStyle="1" w:styleId="affffffd">
    <w:name w:val="标准文件_封面标准英文名称"/>
    <w:basedOn w:val="afffc"/>
    <w:qFormat/>
    <w:pPr>
      <w:spacing w:line="240" w:lineRule="auto"/>
      <w:jc w:val="center"/>
    </w:pPr>
    <w:rPr>
      <w:rFonts w:ascii="黑体" w:eastAsia="黑体"/>
      <w:b/>
      <w:sz w:val="28"/>
    </w:rPr>
  </w:style>
  <w:style w:type="paragraph" w:customStyle="1" w:styleId="affffffe">
    <w:name w:val="标准文件_封面发布日期"/>
    <w:basedOn w:val="afffc"/>
    <w:qFormat/>
    <w:pPr>
      <w:spacing w:line="310" w:lineRule="exact"/>
    </w:pPr>
    <w:rPr>
      <w:rFonts w:ascii="黑体" w:eastAsia="黑体"/>
      <w:kern w:val="0"/>
      <w:sz w:val="28"/>
    </w:rPr>
  </w:style>
  <w:style w:type="paragraph" w:customStyle="1" w:styleId="afffffff">
    <w:name w:val="标准文件_封面密级"/>
    <w:basedOn w:val="afffc"/>
    <w:qFormat/>
    <w:rPr>
      <w:rFonts w:eastAsia="黑体"/>
      <w:sz w:val="32"/>
    </w:rPr>
  </w:style>
  <w:style w:type="paragraph" w:customStyle="1" w:styleId="afffffff0">
    <w:name w:val="标准文件_封面实施日期"/>
    <w:basedOn w:val="afffc"/>
    <w:qFormat/>
    <w:pPr>
      <w:spacing w:line="310" w:lineRule="exact"/>
      <w:jc w:val="right"/>
    </w:pPr>
    <w:rPr>
      <w:rFonts w:ascii="黑体" w:eastAsia="黑体"/>
      <w:sz w:val="28"/>
    </w:rPr>
  </w:style>
  <w:style w:type="paragraph" w:customStyle="1" w:styleId="afffffff1">
    <w:name w:val="标准文件_封面抬头"/>
    <w:basedOn w:val="affffff1"/>
    <w:qFormat/>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f1"/>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5">
    <w:name w:val="标准文件_附录表标题"/>
    <w:next w:val="affffff1"/>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b">
    <w:name w:val="标准文件_附录一级条标题"/>
    <w:next w:val="af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c">
    <w:name w:val="标准文件_附录二级条标题"/>
    <w:basedOn w:val="affb"/>
    <w:next w:val="affffff1"/>
    <w:qFormat/>
    <w:pPr>
      <w:widowControl/>
      <w:numPr>
        <w:ilvl w:val="2"/>
      </w:numPr>
      <w:wordWrap w:val="0"/>
      <w:overflowPunct w:val="0"/>
      <w:autoSpaceDE w:val="0"/>
      <w:autoSpaceDN w:val="0"/>
      <w:textAlignment w:val="baseline"/>
      <w:outlineLvl w:val="3"/>
    </w:pPr>
  </w:style>
  <w:style w:type="paragraph" w:customStyle="1" w:styleId="afffffff2">
    <w:name w:val="标准文件_附录公式"/>
    <w:basedOn w:val="affffff0"/>
    <w:next w:val="affffff0"/>
    <w:qFormat/>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e">
    <w:name w:val="标准文件_附录四级条标题"/>
    <w:next w:val="af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f">
    <w:name w:val="标准文件_附录图标题"/>
    <w:next w:val="affffff1"/>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f">
    <w:name w:val="标准文件_附录五级条标题"/>
    <w:next w:val="af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3"/>
    <w:qFormat/>
    <w:pPr>
      <w:numPr>
        <w:numId w:val="7"/>
      </w:numPr>
      <w:tabs>
        <w:tab w:val="left" w:pos="6406"/>
      </w:tabs>
      <w:spacing w:before="220" w:after="320"/>
      <w:jc w:val="center"/>
      <w:outlineLvl w:val="0"/>
    </w:pPr>
    <w:rPr>
      <w:rFonts w:ascii="黑体" w:eastAsia="黑体"/>
      <w:sz w:val="21"/>
    </w:rPr>
  </w:style>
  <w:style w:type="character" w:customStyle="1" w:styleId="affff4">
    <w:name w:val="正文文本 字符"/>
    <w:link w:val="affff3"/>
    <w:qFormat/>
    <w:rPr>
      <w:rFonts w:ascii="Times New Roman" w:eastAsia="宋体" w:hAnsi="Times New Roman" w:cs="Times New Roman"/>
      <w:szCs w:val="20"/>
    </w:rPr>
  </w:style>
  <w:style w:type="paragraph" w:customStyle="1" w:styleId="afffffff3">
    <w:name w:val="标准文件_附录章标题"/>
    <w:next w:val="af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4">
    <w:name w:val="标准文件_公式后的破折号"/>
    <w:basedOn w:val="affffff1"/>
    <w:next w:val="affffff1"/>
    <w:qFormat/>
    <w:pPr>
      <w:ind w:leftChars="200" w:left="488" w:hangingChars="290" w:hanging="289"/>
    </w:pPr>
  </w:style>
  <w:style w:type="paragraph" w:customStyle="1" w:styleId="a6">
    <w:name w:val="标准文件_前言、引言标题"/>
    <w:next w:val="afffc"/>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f5">
    <w:name w:val="标准文件_目次、标准名称标题"/>
    <w:basedOn w:val="a6"/>
    <w:next w:val="affffff1"/>
    <w:qFormat/>
    <w:pPr>
      <w:spacing w:line="460" w:lineRule="exact"/>
    </w:pPr>
  </w:style>
  <w:style w:type="paragraph" w:customStyle="1" w:styleId="afffffff6">
    <w:name w:val="标准文件_目录标题"/>
    <w:basedOn w:val="afffc"/>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f2">
    <w:name w:val="标准文件_破折号列项（二级）"/>
    <w:basedOn w:val="af1"/>
    <w:qFormat/>
    <w:pPr>
      <w:numPr>
        <w:numId w:val="10"/>
      </w:numPr>
      <w:ind w:left="0" w:firstLine="200"/>
    </w:pPr>
  </w:style>
  <w:style w:type="paragraph" w:customStyle="1" w:styleId="afff6">
    <w:name w:val="标准文件_三级条标题"/>
    <w:basedOn w:val="afff5"/>
    <w:next w:val="af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7">
    <w:name w:val="标准文件_示例后续"/>
    <w:basedOn w:val="afffc"/>
    <w:qFormat/>
    <w:pPr>
      <w:adjustRightInd/>
      <w:spacing w:line="240" w:lineRule="auto"/>
      <w:ind w:firstLineChars="200" w:firstLine="200"/>
    </w:pPr>
    <w:rPr>
      <w:sz w:val="18"/>
      <w:szCs w:val="24"/>
    </w:rPr>
  </w:style>
  <w:style w:type="paragraph" w:customStyle="1" w:styleId="afff0">
    <w:name w:val="标准文件_数字编号列项"/>
    <w:qFormat/>
    <w:pPr>
      <w:numPr>
        <w:numId w:val="11"/>
      </w:numPr>
      <w:jc w:val="both"/>
    </w:pPr>
    <w:rPr>
      <w:rFonts w:ascii="宋体" w:hAnsi="宋体"/>
      <w:sz w:val="21"/>
    </w:rPr>
  </w:style>
  <w:style w:type="paragraph" w:customStyle="1" w:styleId="afff7">
    <w:name w:val="标准文件_四级条标题"/>
    <w:next w:val="af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c">
    <w:name w:val="脚注文本 字符"/>
    <w:link w:val="affffb"/>
    <w:semiHidden/>
    <w:qFormat/>
    <w:rPr>
      <w:rFonts w:ascii="宋体" w:eastAsia="宋体" w:hAnsi="Times New Roman" w:cs="Times New Roman"/>
      <w:sz w:val="18"/>
      <w:szCs w:val="18"/>
    </w:rPr>
  </w:style>
  <w:style w:type="paragraph" w:customStyle="1" w:styleId="afffffff8">
    <w:name w:val="标准文件_条文脚注"/>
    <w:basedOn w:val="affffb"/>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c"/>
    <w:next w:val="affffff1"/>
    <w:qFormat/>
    <w:pPr>
      <w:numPr>
        <w:numId w:val="12"/>
      </w:numPr>
      <w:spacing w:line="240" w:lineRule="auto"/>
      <w:jc w:val="left"/>
    </w:pPr>
    <w:rPr>
      <w:rFonts w:ascii="宋体" w:hAnsi="宋体"/>
      <w:sz w:val="18"/>
    </w:rPr>
  </w:style>
  <w:style w:type="character" w:customStyle="1" w:styleId="afffffff9">
    <w:name w:val="标准文件_图表脚注内容"/>
    <w:qFormat/>
    <w:rPr>
      <w:rFonts w:ascii="宋体" w:eastAsia="宋体" w:hAnsi="宋体" w:cs="Times New Roman"/>
      <w:spacing w:val="0"/>
      <w:sz w:val="18"/>
      <w:vertAlign w:val="superscript"/>
    </w:rPr>
  </w:style>
  <w:style w:type="paragraph" w:customStyle="1" w:styleId="afff8">
    <w:name w:val="标准文件_五级条标题"/>
    <w:next w:val="af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3">
    <w:name w:val="标准文件_章标题"/>
    <w:next w:val="affffff1"/>
    <w:qFormat/>
    <w:pPr>
      <w:numPr>
        <w:ilvl w:val="1"/>
        <w:numId w:val="2"/>
      </w:numPr>
      <w:spacing w:beforeLines="100" w:before="100" w:afterLines="100" w:after="100"/>
      <w:jc w:val="both"/>
      <w:outlineLvl w:val="0"/>
    </w:pPr>
    <w:rPr>
      <w:rFonts w:ascii="黑体" w:eastAsia="黑体"/>
      <w:sz w:val="21"/>
    </w:rPr>
  </w:style>
  <w:style w:type="paragraph" w:customStyle="1" w:styleId="afff4">
    <w:name w:val="标准文件_一级条标题"/>
    <w:basedOn w:val="afff3"/>
    <w:next w:val="affffff1"/>
    <w:qFormat/>
    <w:pPr>
      <w:numPr>
        <w:ilvl w:val="2"/>
      </w:numPr>
      <w:spacing w:beforeLines="50" w:before="50" w:afterLines="50" w:after="50"/>
      <w:outlineLvl w:val="1"/>
    </w:pPr>
  </w:style>
  <w:style w:type="paragraph" w:customStyle="1" w:styleId="afffffffa">
    <w:name w:val="标准文件_一致程度"/>
    <w:basedOn w:val="afffc"/>
    <w:qFormat/>
    <w:pPr>
      <w:spacing w:line="440" w:lineRule="exact"/>
      <w:jc w:val="center"/>
    </w:pPr>
    <w:rPr>
      <w:sz w:val="28"/>
    </w:rPr>
  </w:style>
  <w:style w:type="paragraph" w:customStyle="1" w:styleId="afffffffb">
    <w:name w:val="标准文件_引言标题"/>
    <w:next w:val="afffc"/>
    <w:qFormat/>
    <w:pPr>
      <w:shd w:val="clear" w:color="FFFFFF" w:fill="FFFFFF"/>
      <w:spacing w:before="540" w:after="600"/>
      <w:jc w:val="center"/>
      <w:outlineLvl w:val="0"/>
    </w:pPr>
    <w:rPr>
      <w:rFonts w:ascii="黑体" w:eastAsia="黑体"/>
      <w:sz w:val="32"/>
    </w:rPr>
  </w:style>
  <w:style w:type="paragraph" w:customStyle="1" w:styleId="afffffffc">
    <w:name w:val="标准文件_英文图表脚注"/>
    <w:basedOn w:val="affffff0"/>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sz w:val="21"/>
    </w:rPr>
  </w:style>
  <w:style w:type="paragraph" w:customStyle="1" w:styleId="af">
    <w:name w:val="标准文件_英文注："/>
    <w:basedOn w:val="afffc"/>
    <w:next w:val="af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c"/>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f1"/>
    <w:qFormat/>
    <w:pPr>
      <w:numPr>
        <w:numId w:val="16"/>
      </w:numPr>
      <w:tabs>
        <w:tab w:val="left" w:pos="0"/>
      </w:tabs>
      <w:spacing w:beforeLines="50" w:before="50" w:afterLines="50" w:after="50"/>
      <w:jc w:val="center"/>
    </w:pPr>
    <w:rPr>
      <w:rFonts w:ascii="黑体" w:eastAsia="黑体"/>
      <w:sz w:val="21"/>
    </w:rPr>
  </w:style>
  <w:style w:type="paragraph" w:customStyle="1" w:styleId="afffffffd">
    <w:name w:val="标准文件_正文公式"/>
    <w:basedOn w:val="afffc"/>
    <w:next w:val="affffff0"/>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f1"/>
    <w:qFormat/>
    <w:pPr>
      <w:numPr>
        <w:numId w:val="17"/>
      </w:numPr>
      <w:spacing w:beforeLines="50" w:before="50" w:afterLines="50" w:after="50"/>
      <w:jc w:val="center"/>
    </w:pPr>
    <w:rPr>
      <w:rFonts w:ascii="黑体" w:eastAsia="黑体"/>
      <w:sz w:val="21"/>
    </w:rPr>
  </w:style>
  <w:style w:type="paragraph" w:customStyle="1" w:styleId="afffa">
    <w:name w:val="标准文件_正文英文表标题"/>
    <w:next w:val="affffff1"/>
    <w:qFormat/>
    <w:pPr>
      <w:numPr>
        <w:numId w:val="18"/>
      </w:numPr>
      <w:jc w:val="center"/>
    </w:pPr>
    <w:rPr>
      <w:rFonts w:ascii="黑体" w:eastAsia="黑体"/>
      <w:sz w:val="21"/>
    </w:rPr>
  </w:style>
  <w:style w:type="paragraph" w:customStyle="1" w:styleId="aff1">
    <w:name w:val="标准文件_正文英文图标题"/>
    <w:next w:val="affffff1"/>
    <w:qFormat/>
    <w:pPr>
      <w:numPr>
        <w:numId w:val="19"/>
      </w:numPr>
      <w:jc w:val="center"/>
    </w:pPr>
    <w:rPr>
      <w:rFonts w:ascii="黑体" w:eastAsia="黑体"/>
      <w:sz w:val="21"/>
    </w:rPr>
  </w:style>
  <w:style w:type="paragraph" w:customStyle="1" w:styleId="afd">
    <w:name w:val="标准文件_编号列项（三级）"/>
    <w:qFormat/>
    <w:pPr>
      <w:numPr>
        <w:ilvl w:val="2"/>
        <w:numId w:val="13"/>
      </w:numPr>
    </w:pPr>
    <w:rPr>
      <w:rFonts w:ascii="宋体"/>
      <w:sz w:val="21"/>
    </w:rPr>
  </w:style>
  <w:style w:type="paragraph" w:customStyle="1" w:styleId="a1">
    <w:name w:val="二级无标题条"/>
    <w:basedOn w:val="afffc"/>
    <w:qFormat/>
    <w:pPr>
      <w:numPr>
        <w:ilvl w:val="3"/>
        <w:numId w:val="20"/>
      </w:numPr>
      <w:adjustRightInd/>
      <w:spacing w:line="240" w:lineRule="auto"/>
    </w:pPr>
    <w:rPr>
      <w:rFonts w:ascii="宋体" w:hAnsi="宋体"/>
      <w:szCs w:val="24"/>
    </w:rPr>
  </w:style>
  <w:style w:type="paragraph" w:customStyle="1" w:styleId="afffffffe">
    <w:name w:val="发布部门"/>
    <w:next w:val="affffff1"/>
    <w:qFormat/>
    <w:pPr>
      <w:framePr w:w="7433" w:h="585" w:hRule="exact" w:hSpace="180" w:vSpace="180" w:wrap="around" w:hAnchor="margin" w:xAlign="center" w:y="14401" w:anchorLock="1"/>
      <w:jc w:val="center"/>
    </w:pPr>
    <w:rPr>
      <w:rFonts w:ascii="宋体"/>
      <w:b/>
      <w:w w:val="135"/>
      <w:sz w:val="36"/>
    </w:rPr>
  </w:style>
  <w:style w:type="paragraph" w:customStyle="1" w:styleId="affffffff">
    <w:name w:val="发布日期"/>
    <w:qFormat/>
    <w:pPr>
      <w:framePr w:w="4000" w:h="473" w:hRule="exact" w:hSpace="180" w:vSpace="180" w:wrap="around" w:hAnchor="margin" w:y="13511" w:anchorLock="1"/>
    </w:pPr>
    <w:rPr>
      <w:rFonts w:eastAsia="黑体"/>
      <w:sz w:val="28"/>
    </w:rPr>
  </w:style>
  <w:style w:type="paragraph" w:customStyle="1" w:styleId="affffffff0">
    <w:name w:val="封面标准代替信息"/>
    <w:basedOn w:val="afffc"/>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2">
    <w:name w:val="封面标准文稿编辑信息"/>
    <w:qFormat/>
    <w:pPr>
      <w:spacing w:before="180" w:line="180" w:lineRule="exact"/>
      <w:jc w:val="center"/>
    </w:pPr>
    <w:rPr>
      <w:rFonts w:ascii="宋体"/>
      <w:sz w:val="21"/>
    </w:rPr>
  </w:style>
  <w:style w:type="paragraph" w:customStyle="1" w:styleId="affffffff3">
    <w:name w:val="封面标准文稿类别"/>
    <w:qFormat/>
    <w:pPr>
      <w:spacing w:before="440" w:line="400" w:lineRule="exact"/>
      <w:jc w:val="center"/>
    </w:pPr>
    <w:rPr>
      <w:rFonts w:ascii="宋体"/>
      <w:sz w:val="24"/>
    </w:rPr>
  </w:style>
  <w:style w:type="paragraph" w:customStyle="1" w:styleId="affffffff4">
    <w:name w:val="封面标准英文名称"/>
    <w:qFormat/>
    <w:pPr>
      <w:widowControl w:val="0"/>
      <w:spacing w:line="360" w:lineRule="exact"/>
      <w:jc w:val="center"/>
    </w:pPr>
    <w:rPr>
      <w:sz w:val="28"/>
    </w:rPr>
  </w:style>
  <w:style w:type="paragraph" w:customStyle="1" w:styleId="affffffff5">
    <w:name w:val="封面一致性程度标识"/>
    <w:qFormat/>
    <w:pPr>
      <w:spacing w:before="440" w:line="440" w:lineRule="exact"/>
      <w:jc w:val="center"/>
    </w:pPr>
    <w:rPr>
      <w:sz w:val="28"/>
    </w:rPr>
  </w:style>
  <w:style w:type="paragraph" w:customStyle="1" w:styleId="affffffff6">
    <w:name w:val="封面正文"/>
    <w:qFormat/>
    <w:pPr>
      <w:jc w:val="both"/>
    </w:pPr>
  </w:style>
  <w:style w:type="paragraph" w:customStyle="1" w:styleId="affffffff7">
    <w:name w:val="附录二级无标题条"/>
    <w:basedOn w:val="afffc"/>
    <w:next w:val="af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8">
    <w:name w:val="附录三级无标题条"/>
    <w:basedOn w:val="affffffff7"/>
    <w:next w:val="affffff1"/>
    <w:qFormat/>
    <w:pPr>
      <w:outlineLvl w:val="4"/>
    </w:pPr>
  </w:style>
  <w:style w:type="paragraph" w:customStyle="1" w:styleId="affffffff9">
    <w:name w:val="附录四级无标题条"/>
    <w:basedOn w:val="affffffff8"/>
    <w:next w:val="affffff1"/>
    <w:qFormat/>
    <w:pPr>
      <w:outlineLvl w:val="5"/>
    </w:pPr>
  </w:style>
  <w:style w:type="paragraph" w:customStyle="1" w:styleId="affffffffa">
    <w:name w:val="附录图"/>
    <w:next w:val="af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8">
    <w:name w:val="标准文件_一级项"/>
    <w:qFormat/>
    <w:pPr>
      <w:numPr>
        <w:numId w:val="21"/>
      </w:numPr>
    </w:pPr>
    <w:rPr>
      <w:rFonts w:ascii="宋体"/>
      <w:sz w:val="21"/>
    </w:rPr>
  </w:style>
  <w:style w:type="paragraph" w:customStyle="1" w:styleId="affffffffb">
    <w:name w:val="附录五级无标题条"/>
    <w:basedOn w:val="affffffff9"/>
    <w:next w:val="affffff1"/>
    <w:qFormat/>
    <w:pPr>
      <w:outlineLvl w:val="6"/>
    </w:pPr>
  </w:style>
  <w:style w:type="paragraph" w:customStyle="1" w:styleId="affffffffc">
    <w:name w:val="附录性质"/>
    <w:basedOn w:val="afffc"/>
    <w:qFormat/>
    <w:pPr>
      <w:widowControl/>
      <w:adjustRightInd/>
      <w:jc w:val="center"/>
    </w:pPr>
    <w:rPr>
      <w:rFonts w:ascii="黑体" w:eastAsia="黑体"/>
    </w:rPr>
  </w:style>
  <w:style w:type="paragraph" w:customStyle="1" w:styleId="affffffffd">
    <w:name w:val="附录一级无标题条"/>
    <w:basedOn w:val="afffffff3"/>
    <w:next w:val="affffff1"/>
    <w:qFormat/>
    <w:pPr>
      <w:autoSpaceDN w:val="0"/>
      <w:outlineLvl w:val="2"/>
    </w:pPr>
    <w:rPr>
      <w:rFonts w:ascii="宋体" w:eastAsia="宋体" w:hAnsi="宋体"/>
    </w:rPr>
  </w:style>
  <w:style w:type="character" w:customStyle="1" w:styleId="affffffffe">
    <w:name w:val="个人答复风格"/>
    <w:qFormat/>
    <w:rPr>
      <w:rFonts w:ascii="Arial" w:eastAsia="宋体" w:hAnsi="Arial" w:cs="Arial"/>
      <w:color w:val="auto"/>
      <w:spacing w:val="0"/>
      <w:sz w:val="20"/>
    </w:rPr>
  </w:style>
  <w:style w:type="character" w:customStyle="1" w:styleId="afffffffff">
    <w:name w:val="个人撰写风格"/>
    <w:qFormat/>
    <w:rPr>
      <w:rFonts w:ascii="Arial" w:eastAsia="宋体" w:hAnsi="Arial" w:cs="Arial"/>
      <w:color w:val="auto"/>
      <w:spacing w:val="0"/>
      <w:sz w:val="20"/>
    </w:rPr>
  </w:style>
  <w:style w:type="paragraph" w:customStyle="1" w:styleId="afffffffff0">
    <w:name w:val="脚注后续"/>
    <w:qFormat/>
    <w:pPr>
      <w:ind w:leftChars="350" w:left="350"/>
      <w:jc w:val="both"/>
    </w:pPr>
    <w:rPr>
      <w:rFonts w:ascii="宋体"/>
      <w:sz w:val="18"/>
    </w:rPr>
  </w:style>
  <w:style w:type="paragraph" w:customStyle="1" w:styleId="afffb">
    <w:name w:val="列项——"/>
    <w:qFormat/>
    <w:pPr>
      <w:widowControl w:val="0"/>
      <w:numPr>
        <w:numId w:val="22"/>
      </w:numPr>
      <w:jc w:val="both"/>
    </w:pPr>
    <w:rPr>
      <w:rFonts w:ascii="宋体" w:hAnsi="宋体"/>
      <w:sz w:val="21"/>
    </w:rPr>
  </w:style>
  <w:style w:type="paragraph" w:customStyle="1" w:styleId="afffffffff1">
    <w:name w:val="列项·"/>
    <w:basedOn w:val="affffff1"/>
    <w:qFormat/>
    <w:pPr>
      <w:tabs>
        <w:tab w:val="left" w:pos="840"/>
      </w:tabs>
    </w:pPr>
  </w:style>
  <w:style w:type="paragraph" w:customStyle="1" w:styleId="afffffffff2">
    <w:name w:val="目次、索引正文"/>
    <w:qFormat/>
    <w:pPr>
      <w:spacing w:line="320" w:lineRule="exact"/>
      <w:jc w:val="both"/>
    </w:pPr>
    <w:rPr>
      <w:rFonts w:ascii="宋体"/>
      <w:sz w:val="21"/>
    </w:rPr>
  </w:style>
  <w:style w:type="paragraph" w:customStyle="1" w:styleId="210">
    <w:name w:val="目录 21"/>
    <w:basedOn w:val="afffc"/>
    <w:next w:val="afffc"/>
    <w:semiHidden/>
    <w:qFormat/>
    <w:pPr>
      <w:adjustRightInd/>
      <w:spacing w:line="240" w:lineRule="auto"/>
      <w:jc w:val="left"/>
    </w:pPr>
    <w:rPr>
      <w:bCs/>
      <w:iCs/>
    </w:rPr>
  </w:style>
  <w:style w:type="paragraph" w:customStyle="1" w:styleId="31">
    <w:name w:val="目录 31"/>
    <w:basedOn w:val="afffc"/>
    <w:next w:val="afffc"/>
    <w:semiHidden/>
    <w:qFormat/>
    <w:pPr>
      <w:spacing w:line="240" w:lineRule="auto"/>
    </w:pPr>
    <w:rPr>
      <w:rFonts w:ascii="宋体" w:hAnsi="宋体"/>
      <w:iCs/>
    </w:rPr>
  </w:style>
  <w:style w:type="paragraph" w:customStyle="1" w:styleId="41">
    <w:name w:val="目录 41"/>
    <w:basedOn w:val="afffc"/>
    <w:next w:val="afffc"/>
    <w:semiHidden/>
    <w:qFormat/>
    <w:pPr>
      <w:adjustRightInd/>
      <w:spacing w:line="240" w:lineRule="auto"/>
      <w:jc w:val="left"/>
    </w:pPr>
  </w:style>
  <w:style w:type="paragraph" w:customStyle="1" w:styleId="51">
    <w:name w:val="目录 51"/>
    <w:basedOn w:val="afffc"/>
    <w:next w:val="afffc"/>
    <w:semiHidden/>
    <w:qFormat/>
    <w:pPr>
      <w:spacing w:line="240" w:lineRule="auto"/>
    </w:pPr>
    <w:rPr>
      <w:rFonts w:ascii="宋体" w:hAnsi="宋体"/>
    </w:rPr>
  </w:style>
  <w:style w:type="paragraph" w:customStyle="1" w:styleId="61">
    <w:name w:val="目录 61"/>
    <w:basedOn w:val="afffc"/>
    <w:next w:val="afffc"/>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f3">
    <w:name w:val="其他标准称谓"/>
    <w:qFormat/>
    <w:pPr>
      <w:spacing w:line="0" w:lineRule="atLeast"/>
      <w:jc w:val="distribute"/>
    </w:pPr>
    <w:rPr>
      <w:rFonts w:ascii="黑体" w:eastAsia="黑体" w:hAnsi="宋体"/>
      <w:sz w:val="52"/>
    </w:rPr>
  </w:style>
  <w:style w:type="paragraph" w:customStyle="1" w:styleId="afffffffff4">
    <w:name w:val="其他发布部门"/>
    <w:basedOn w:val="afffffffe"/>
    <w:qFormat/>
    <w:pPr>
      <w:framePr w:wrap="around"/>
      <w:spacing w:line="0" w:lineRule="atLeast"/>
    </w:pPr>
    <w:rPr>
      <w:rFonts w:ascii="黑体" w:eastAsia="黑体"/>
      <w:b w:val="0"/>
    </w:rPr>
  </w:style>
  <w:style w:type="paragraph" w:customStyle="1" w:styleId="afff2">
    <w:name w:val="前言标题"/>
    <w:next w:val="afffc"/>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c"/>
    <w:qFormat/>
    <w:pPr>
      <w:numPr>
        <w:ilvl w:val="4"/>
        <w:numId w:val="20"/>
      </w:numPr>
      <w:adjustRightInd/>
      <w:spacing w:line="240" w:lineRule="auto"/>
    </w:pPr>
    <w:rPr>
      <w:rFonts w:ascii="宋体" w:hAnsi="宋体"/>
      <w:szCs w:val="24"/>
    </w:rPr>
  </w:style>
  <w:style w:type="paragraph" w:customStyle="1" w:styleId="afffffffff5">
    <w:name w:val="实施日期"/>
    <w:basedOn w:val="affffffff"/>
    <w:qFormat/>
    <w:pPr>
      <w:framePr w:hSpace="0" w:wrap="around" w:xAlign="right"/>
      <w:jc w:val="right"/>
    </w:pPr>
  </w:style>
  <w:style w:type="paragraph" w:customStyle="1" w:styleId="a3">
    <w:name w:val="四级无标题条"/>
    <w:basedOn w:val="afffc"/>
    <w:qFormat/>
    <w:pPr>
      <w:numPr>
        <w:ilvl w:val="5"/>
        <w:numId w:val="20"/>
      </w:numPr>
      <w:adjustRightInd/>
      <w:spacing w:line="240" w:lineRule="auto"/>
    </w:pPr>
    <w:rPr>
      <w:rFonts w:ascii="宋体" w:hAnsi="宋体"/>
      <w:szCs w:val="24"/>
    </w:rPr>
  </w:style>
  <w:style w:type="paragraph" w:customStyle="1" w:styleId="af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f7">
    <w:name w:val="无标题条"/>
    <w:next w:val="affffff1"/>
    <w:qFormat/>
    <w:pPr>
      <w:jc w:val="both"/>
    </w:pPr>
    <w:rPr>
      <w:rFonts w:ascii="宋体" w:hAnsi="宋体"/>
      <w:sz w:val="21"/>
    </w:rPr>
  </w:style>
  <w:style w:type="paragraph" w:customStyle="1" w:styleId="a4">
    <w:name w:val="五级无标题条"/>
    <w:basedOn w:val="afffc"/>
    <w:qFormat/>
    <w:pPr>
      <w:numPr>
        <w:ilvl w:val="6"/>
        <w:numId w:val="20"/>
      </w:numPr>
      <w:adjustRightInd/>
    </w:pPr>
    <w:rPr>
      <w:szCs w:val="24"/>
    </w:rPr>
  </w:style>
  <w:style w:type="paragraph" w:customStyle="1" w:styleId="a0">
    <w:name w:val="一级无标题条"/>
    <w:basedOn w:val="afffc"/>
    <w:qFormat/>
    <w:pPr>
      <w:numPr>
        <w:ilvl w:val="2"/>
        <w:numId w:val="20"/>
      </w:numPr>
      <w:adjustRightInd/>
      <w:spacing w:before="10" w:after="10" w:line="240" w:lineRule="auto"/>
    </w:pPr>
    <w:rPr>
      <w:rFonts w:ascii="宋体" w:hAnsi="宋体"/>
      <w:szCs w:val="24"/>
    </w:rPr>
  </w:style>
  <w:style w:type="paragraph" w:customStyle="1" w:styleId="afffffffff8">
    <w:name w:val="注:后续"/>
    <w:qFormat/>
    <w:pPr>
      <w:spacing w:line="300" w:lineRule="exact"/>
      <w:ind w:leftChars="400" w:left="600" w:hangingChars="200" w:hanging="200"/>
      <w:jc w:val="both"/>
    </w:pPr>
    <w:rPr>
      <w:rFonts w:ascii="宋体"/>
      <w:sz w:val="18"/>
    </w:rPr>
  </w:style>
  <w:style w:type="paragraph" w:customStyle="1" w:styleId="afffffffff9">
    <w:name w:val="注×:后续"/>
    <w:basedOn w:val="afffffffff8"/>
    <w:qFormat/>
    <w:pPr>
      <w:ind w:leftChars="0" w:left="1406" w:firstLineChars="0" w:hanging="499"/>
    </w:pPr>
  </w:style>
  <w:style w:type="paragraph" w:customStyle="1" w:styleId="afffffffffa">
    <w:name w:val="标准文件_一级无标题"/>
    <w:basedOn w:val="afff4"/>
    <w:qFormat/>
    <w:pPr>
      <w:spacing w:beforeLines="0" w:before="0" w:afterLines="0" w:after="0"/>
      <w:outlineLvl w:val="9"/>
    </w:pPr>
    <w:rPr>
      <w:rFonts w:ascii="宋体" w:eastAsia="宋体"/>
    </w:rPr>
  </w:style>
  <w:style w:type="paragraph" w:customStyle="1" w:styleId="afffffffffb">
    <w:name w:val="标准文件_五级无标题"/>
    <w:basedOn w:val="afff8"/>
    <w:qFormat/>
    <w:pPr>
      <w:spacing w:beforeLines="0" w:before="0" w:afterLines="0" w:after="0"/>
      <w:outlineLvl w:val="9"/>
    </w:pPr>
    <w:rPr>
      <w:rFonts w:ascii="宋体" w:eastAsia="宋体"/>
    </w:rPr>
  </w:style>
  <w:style w:type="paragraph" w:customStyle="1" w:styleId="afffffffffc">
    <w:name w:val="标准文件_三级无标题"/>
    <w:basedOn w:val="afff6"/>
    <w:qFormat/>
    <w:pPr>
      <w:spacing w:beforeLines="0" w:before="0" w:afterLines="0" w:after="0"/>
      <w:outlineLvl w:val="9"/>
    </w:pPr>
    <w:rPr>
      <w:rFonts w:ascii="宋体" w:eastAsia="宋体"/>
    </w:rPr>
  </w:style>
  <w:style w:type="paragraph" w:customStyle="1" w:styleId="afffffffffd">
    <w:name w:val="标准文件_二级无标题"/>
    <w:basedOn w:val="afff5"/>
    <w:qFormat/>
    <w:pPr>
      <w:spacing w:beforeLines="0" w:before="0" w:afterLines="0" w:after="0"/>
      <w:outlineLvl w:val="9"/>
    </w:pPr>
    <w:rPr>
      <w:rFonts w:ascii="宋体" w:eastAsia="宋体"/>
    </w:rPr>
  </w:style>
  <w:style w:type="paragraph" w:customStyle="1" w:styleId="afffffffffe">
    <w:name w:val="标准_四级无标题"/>
    <w:basedOn w:val="afff7"/>
    <w:next w:val="affffff1"/>
    <w:qFormat/>
    <w:rPr>
      <w:rFonts w:eastAsia="宋体"/>
    </w:rPr>
  </w:style>
  <w:style w:type="paragraph" w:customStyle="1" w:styleId="affffffffff">
    <w:name w:val="标准文件_四级无标题"/>
    <w:basedOn w:val="afff7"/>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f1"/>
    <w:qFormat/>
    <w:pPr>
      <w:numPr>
        <w:numId w:val="23"/>
      </w:numPr>
      <w:ind w:firstLineChars="0" w:firstLine="0"/>
    </w:pPr>
    <w:rPr>
      <w:rFonts w:ascii="Times New Roman" w:cs="Arial"/>
      <w:szCs w:val="28"/>
    </w:rPr>
  </w:style>
  <w:style w:type="paragraph" w:customStyle="1" w:styleId="ae">
    <w:name w:val="标准文件_小写罗马数字编号列项"/>
    <w:basedOn w:val="affffff1"/>
    <w:qFormat/>
    <w:pPr>
      <w:numPr>
        <w:numId w:val="24"/>
      </w:numPr>
      <w:ind w:firstLineChars="0" w:firstLine="0"/>
    </w:pPr>
    <w:rPr>
      <w:rFonts w:cs="Arial"/>
      <w:szCs w:val="28"/>
    </w:rPr>
  </w:style>
  <w:style w:type="paragraph" w:customStyle="1" w:styleId="affffffffff0">
    <w:name w:val="标准文件_附录标题"/>
    <w:basedOn w:val="affa"/>
    <w:qFormat/>
    <w:pPr>
      <w:numPr>
        <w:numId w:val="0"/>
      </w:numPr>
      <w:spacing w:after="280"/>
      <w:outlineLvl w:val="9"/>
    </w:pPr>
  </w:style>
  <w:style w:type="paragraph" w:customStyle="1" w:styleId="affffffffff1">
    <w:name w:val="标准文件_二级项"/>
    <w:qFormat/>
    <w:rPr>
      <w:rFonts w:ascii="宋体"/>
      <w:sz w:val="21"/>
    </w:rPr>
  </w:style>
  <w:style w:type="paragraph" w:customStyle="1" w:styleId="af9">
    <w:name w:val="标准文件_三级项"/>
    <w:basedOn w:val="afffc"/>
    <w:qFormat/>
    <w:pPr>
      <w:numPr>
        <w:ilvl w:val="2"/>
        <w:numId w:val="21"/>
      </w:numPr>
      <w:spacing w:line="-300" w:lineRule="auto"/>
    </w:pPr>
    <w:rPr>
      <w:rFonts w:ascii="Times New Roman" w:hAnsi="Times New Roman"/>
    </w:rPr>
  </w:style>
  <w:style w:type="paragraph" w:customStyle="1" w:styleId="afff1">
    <w:name w:val="图表脚注说明"/>
    <w:basedOn w:val="afffc"/>
    <w:next w:val="affffff1"/>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sz w:val="21"/>
    </w:rPr>
  </w:style>
  <w:style w:type="paragraph" w:customStyle="1" w:styleId="affffffffff2">
    <w:name w:val="标准文件_索引字母"/>
    <w:next w:val="affffff1"/>
    <w:qFormat/>
    <w:pPr>
      <w:jc w:val="center"/>
    </w:pPr>
    <w:rPr>
      <w:rFonts w:ascii="宋体" w:eastAsia="Times New Roman" w:hAnsi="宋体"/>
      <w:b/>
      <w:kern w:val="2"/>
      <w:sz w:val="21"/>
    </w:rPr>
  </w:style>
  <w:style w:type="paragraph" w:customStyle="1" w:styleId="affffffffff3">
    <w:name w:val="标准文件_附录前"/>
    <w:next w:val="affffff1"/>
    <w:qFormat/>
    <w:pPr>
      <w:spacing w:line="20" w:lineRule="atLeast"/>
      <w:ind w:firstLine="200"/>
    </w:pPr>
    <w:rPr>
      <w:rFonts w:ascii="宋体" w:hAnsi="宋体"/>
      <w:kern w:val="2"/>
      <w:sz w:val="10"/>
    </w:rPr>
  </w:style>
  <w:style w:type="paragraph" w:customStyle="1" w:styleId="affffffffff4">
    <w:name w:val="标准文件_正文标准名称"/>
    <w:qFormat/>
    <w:pPr>
      <w:spacing w:after="640" w:line="400" w:lineRule="exact"/>
      <w:jc w:val="center"/>
    </w:pPr>
    <w:rPr>
      <w:rFonts w:ascii="黑体" w:eastAsia="黑体" w:hAnsi="黑体"/>
      <w:kern w:val="2"/>
      <w:sz w:val="32"/>
      <w:szCs w:val="32"/>
    </w:rPr>
  </w:style>
  <w:style w:type="paragraph" w:customStyle="1" w:styleId="affffffffff5">
    <w:name w:val="标准文件_表格"/>
    <w:basedOn w:val="affffff1"/>
    <w:qFormat/>
    <w:pPr>
      <w:ind w:firstLineChars="0" w:firstLine="0"/>
      <w:jc w:val="center"/>
    </w:pPr>
    <w:rPr>
      <w:sz w:val="18"/>
    </w:rPr>
  </w:style>
  <w:style w:type="paragraph" w:customStyle="1" w:styleId="afff9">
    <w:name w:val="标准文件_注："/>
    <w:next w:val="af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6"/>
    <w:qFormat/>
    <w:pPr>
      <w:widowControl w:val="0"/>
      <w:numPr>
        <w:numId w:val="28"/>
      </w:numPr>
      <w:jc w:val="both"/>
    </w:pPr>
    <w:rPr>
      <w:rFonts w:ascii="宋体"/>
      <w:sz w:val="18"/>
      <w:szCs w:val="18"/>
    </w:rPr>
  </w:style>
  <w:style w:type="paragraph" w:customStyle="1" w:styleId="affffffffff6">
    <w:name w:val="标准文件_示例内容"/>
    <w:basedOn w:val="affffff1"/>
    <w:qFormat/>
    <w:pPr>
      <w:ind w:firstLine="420"/>
    </w:pPr>
    <w:rPr>
      <w:sz w:val="18"/>
    </w:rPr>
  </w:style>
  <w:style w:type="paragraph" w:customStyle="1" w:styleId="aff0">
    <w:name w:val="标准文件_示例×："/>
    <w:basedOn w:val="afffc"/>
    <w:next w:val="affffffffff6"/>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1"/>
    <w:qFormat/>
    <w:rPr>
      <w:rFonts w:ascii="宋体" w:hAnsi="Times New Roman"/>
      <w:sz w:val="21"/>
    </w:rPr>
  </w:style>
  <w:style w:type="paragraph" w:customStyle="1" w:styleId="affffffffff7">
    <w:name w:val="标准文件_表格续"/>
    <w:basedOn w:val="affffff1"/>
    <w:next w:val="affffff1"/>
    <w:qFormat/>
    <w:pPr>
      <w:jc w:val="center"/>
    </w:pPr>
    <w:rPr>
      <w:rFonts w:ascii="黑体" w:eastAsia="黑体" w:hAnsi="黑体"/>
    </w:rPr>
  </w:style>
  <w:style w:type="character" w:styleId="affffffffff8">
    <w:name w:val="Placeholder Text"/>
    <w:basedOn w:val="afffd"/>
    <w:uiPriority w:val="99"/>
    <w:semiHidden/>
    <w:qFormat/>
    <w:rPr>
      <w:color w:val="808080"/>
    </w:rPr>
  </w:style>
  <w:style w:type="paragraph" w:customStyle="1" w:styleId="2">
    <w:name w:val="标准文件_二级项2"/>
    <w:basedOn w:val="affffff1"/>
    <w:qFormat/>
    <w:pPr>
      <w:numPr>
        <w:ilvl w:val="1"/>
        <w:numId w:val="21"/>
      </w:numPr>
      <w:ind w:left="1271" w:firstLineChars="0" w:hanging="420"/>
    </w:pPr>
  </w:style>
  <w:style w:type="paragraph" w:customStyle="1" w:styleId="21">
    <w:name w:val="标准文件_三级项2"/>
    <w:basedOn w:val="affffff1"/>
    <w:qFormat/>
    <w:pPr>
      <w:numPr>
        <w:numId w:val="30"/>
      </w:numPr>
      <w:spacing w:line="300" w:lineRule="exact"/>
      <w:ind w:left="1276" w:firstLineChars="0" w:hanging="425"/>
    </w:pPr>
    <w:rPr>
      <w:rFonts w:ascii="Times New Roman"/>
    </w:rPr>
  </w:style>
  <w:style w:type="paragraph" w:customStyle="1" w:styleId="20">
    <w:name w:val="标准文件_一级项2"/>
    <w:basedOn w:val="affffff1"/>
    <w:qFormat/>
    <w:pPr>
      <w:numPr>
        <w:numId w:val="31"/>
      </w:numPr>
      <w:spacing w:line="300" w:lineRule="exact"/>
      <w:ind w:left="1271" w:firstLineChars="0" w:hanging="420"/>
    </w:pPr>
    <w:rPr>
      <w:rFonts w:ascii="Times New Roman"/>
    </w:rPr>
  </w:style>
  <w:style w:type="paragraph" w:customStyle="1" w:styleId="affffffffff9">
    <w:name w:val="标准文件_提示"/>
    <w:basedOn w:val="affffff1"/>
    <w:next w:val="affffff1"/>
    <w:qFormat/>
    <w:pPr>
      <w:ind w:firstLine="420"/>
    </w:pPr>
    <w:rPr>
      <w:rFonts w:ascii="黑体" w:eastAsia="黑体"/>
    </w:rPr>
  </w:style>
  <w:style w:type="character" w:customStyle="1" w:styleId="affffffffffa">
    <w:name w:val="标准文件_来源"/>
    <w:basedOn w:val="afffd"/>
    <w:uiPriority w:val="1"/>
    <w:qFormat/>
    <w:rPr>
      <w:rFonts w:eastAsia="宋体"/>
      <w:sz w:val="21"/>
    </w:rPr>
  </w:style>
  <w:style w:type="paragraph" w:customStyle="1" w:styleId="affffffffffb">
    <w:name w:val="标准文件_图表说明"/>
    <w:qFormat/>
    <w:pPr>
      <w:spacing w:line="276" w:lineRule="auto"/>
      <w:ind w:firstLine="420"/>
    </w:pPr>
    <w:rPr>
      <w:rFonts w:ascii="宋体" w:hAnsi="宋体"/>
      <w:kern w:val="2"/>
      <w:sz w:val="18"/>
    </w:rPr>
  </w:style>
  <w:style w:type="paragraph" w:customStyle="1" w:styleId="affffffffffc">
    <w:name w:val="其他发布日期"/>
    <w:basedOn w:val="affffffff"/>
    <w:qFormat/>
    <w:pPr>
      <w:framePr w:w="3997" w:h="471" w:hRule="exact" w:hSpace="0" w:vSpace="181" w:wrap="around" w:vAnchor="page" w:hAnchor="page" w:x="1419" w:y="14097"/>
    </w:pPr>
  </w:style>
  <w:style w:type="paragraph" w:customStyle="1" w:styleId="affffffffffd">
    <w:name w:val="其他实施日期"/>
    <w:basedOn w:val="afffffffff5"/>
    <w:qFormat/>
    <w:pPr>
      <w:framePr w:w="3997" w:h="471" w:hRule="exact" w:vSpace="181" w:wrap="around" w:vAnchor="page" w:hAnchor="page" w:x="7089" w:y="14097"/>
    </w:pPr>
  </w:style>
  <w:style w:type="paragraph" w:customStyle="1" w:styleId="affffffffffe">
    <w:name w:val="标准文件_文件编号"/>
    <w:basedOn w:val="af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
    <w:name w:val="标准文件_替换文件编号"/>
    <w:basedOn w:val="affffffffffe"/>
    <w:qFormat/>
    <w:pPr>
      <w:framePr w:wrap="auto"/>
      <w:spacing w:before="57"/>
    </w:pPr>
    <w:rPr>
      <w:sz w:val="21"/>
    </w:rPr>
  </w:style>
  <w:style w:type="paragraph" w:customStyle="1" w:styleId="afffffffffff0">
    <w:name w:val="标准文件_文件名称"/>
    <w:basedOn w:val="affffff1"/>
    <w:next w:val="af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f1"/>
    <w:next w:val="affffff1"/>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f1"/>
    <w:next w:val="af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1"/>
    <w:next w:val="af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f1"/>
    <w:next w:val="af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f1"/>
    <w:next w:val="af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f1"/>
    <w:next w:val="af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f1"/>
    <w:next w:val="affffff1"/>
    <w:qFormat/>
    <w:pPr>
      <w:numPr>
        <w:ilvl w:val="5"/>
        <w:numId w:val="8"/>
      </w:numPr>
      <w:spacing w:beforeLines="50" w:before="50" w:afterLines="50" w:after="50"/>
      <w:ind w:firstLineChars="0"/>
    </w:pPr>
    <w:rPr>
      <w:rFonts w:ascii="黑体" w:eastAsia="黑体"/>
    </w:rPr>
  </w:style>
  <w:style w:type="paragraph" w:customStyle="1" w:styleId="afffffffffff1">
    <w:name w:val="标准文件_注后"/>
    <w:basedOn w:val="affffff1"/>
    <w:qFormat/>
    <w:pPr>
      <w:ind w:left="811" w:firstLineChars="0" w:firstLine="0"/>
    </w:pPr>
    <w:rPr>
      <w:sz w:val="18"/>
    </w:rPr>
  </w:style>
  <w:style w:type="paragraph" w:customStyle="1" w:styleId="X">
    <w:name w:val="标准文件_注X后"/>
    <w:basedOn w:val="affffff1"/>
    <w:qFormat/>
    <w:pPr>
      <w:ind w:left="811" w:firstLineChars="0" w:firstLine="0"/>
    </w:pPr>
    <w:rPr>
      <w:sz w:val="18"/>
    </w:rPr>
  </w:style>
  <w:style w:type="paragraph" w:customStyle="1" w:styleId="afffffffffff2">
    <w:name w:val="标准文件_示例后"/>
    <w:basedOn w:val="affffff1"/>
    <w:qFormat/>
    <w:pPr>
      <w:ind w:left="964" w:firstLineChars="0" w:firstLine="0"/>
    </w:pPr>
    <w:rPr>
      <w:sz w:val="18"/>
    </w:rPr>
  </w:style>
  <w:style w:type="paragraph" w:customStyle="1" w:styleId="X0">
    <w:name w:val="标准文件_示例X后"/>
    <w:basedOn w:val="affffff1"/>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3">
    <w:name w:val="标准文件_索引项"/>
    <w:basedOn w:val="affffff1"/>
    <w:next w:val="affffff1"/>
    <w:qFormat/>
    <w:pPr>
      <w:tabs>
        <w:tab w:val="right" w:leader="dot" w:pos="9356"/>
      </w:tabs>
      <w:ind w:left="210" w:firstLineChars="0" w:hanging="210"/>
      <w:jc w:val="left"/>
    </w:pPr>
  </w:style>
  <w:style w:type="paragraph" w:customStyle="1" w:styleId="afffffffffff4">
    <w:name w:val="标准文件_附录一级无标题"/>
    <w:basedOn w:val="affb"/>
    <w:qFormat/>
    <w:pPr>
      <w:spacing w:beforeLines="0" w:before="0" w:afterLines="0" w:after="0" w:line="276" w:lineRule="auto"/>
      <w:outlineLvl w:val="9"/>
    </w:pPr>
    <w:rPr>
      <w:rFonts w:ascii="宋体" w:eastAsia="宋体"/>
    </w:rPr>
  </w:style>
  <w:style w:type="paragraph" w:customStyle="1" w:styleId="afffffffffff5">
    <w:name w:val="标准文件_附录二级无标题"/>
    <w:basedOn w:val="affc"/>
    <w:qFormat/>
    <w:pPr>
      <w:spacing w:beforeLines="0" w:before="0" w:afterLines="0" w:after="0" w:line="276" w:lineRule="auto"/>
      <w:outlineLvl w:val="9"/>
    </w:pPr>
    <w:rPr>
      <w:rFonts w:ascii="宋体" w:eastAsia="宋体"/>
    </w:rPr>
  </w:style>
  <w:style w:type="paragraph" w:customStyle="1" w:styleId="afffffffffff6">
    <w:name w:val="标准文件_附录三级无标题"/>
    <w:basedOn w:val="affd"/>
    <w:qFormat/>
    <w:pPr>
      <w:spacing w:beforeLines="0" w:before="0" w:afterLines="0" w:after="0" w:line="276" w:lineRule="auto"/>
      <w:outlineLvl w:val="9"/>
    </w:pPr>
    <w:rPr>
      <w:rFonts w:ascii="宋体" w:eastAsia="宋体"/>
    </w:rPr>
  </w:style>
  <w:style w:type="paragraph" w:customStyle="1" w:styleId="afffffffffff7">
    <w:name w:val="标准文件_附录四级无标题"/>
    <w:basedOn w:val="affe"/>
    <w:qFormat/>
    <w:pPr>
      <w:spacing w:beforeLines="0" w:before="0" w:afterLines="0" w:after="0" w:line="276" w:lineRule="auto"/>
      <w:outlineLvl w:val="9"/>
    </w:pPr>
    <w:rPr>
      <w:rFonts w:ascii="宋体" w:eastAsia="宋体"/>
    </w:rPr>
  </w:style>
  <w:style w:type="paragraph" w:customStyle="1" w:styleId="afffffffffff8">
    <w:name w:val="标准文件_附录五级无标题"/>
    <w:basedOn w:val="afff"/>
    <w:qFormat/>
    <w:pPr>
      <w:spacing w:beforeLines="0" w:before="0" w:afterLines="0" w:after="0" w:line="276" w:lineRule="auto"/>
      <w:outlineLvl w:val="9"/>
    </w:pPr>
    <w:rPr>
      <w:rFonts w:ascii="宋体" w:eastAsia="宋体"/>
    </w:rPr>
  </w:style>
  <w:style w:type="paragraph" w:customStyle="1" w:styleId="afffffffffff9">
    <w:name w:val="标准文件_引言一级无标题"/>
    <w:basedOn w:val="a7"/>
    <w:next w:val="affffff1"/>
    <w:qFormat/>
    <w:pPr>
      <w:spacing w:beforeLines="0" w:before="0" w:afterLines="0" w:after="0" w:line="276" w:lineRule="auto"/>
    </w:pPr>
    <w:rPr>
      <w:rFonts w:ascii="宋体" w:eastAsia="宋体"/>
    </w:rPr>
  </w:style>
  <w:style w:type="paragraph" w:customStyle="1" w:styleId="afffffffffffa">
    <w:name w:val="标准文件_引言二级无标题"/>
    <w:basedOn w:val="a8"/>
    <w:next w:val="affffff1"/>
    <w:qFormat/>
    <w:pPr>
      <w:spacing w:beforeLines="0" w:before="0" w:afterLines="0" w:after="0" w:line="276" w:lineRule="auto"/>
    </w:pPr>
    <w:rPr>
      <w:rFonts w:ascii="宋体" w:eastAsia="宋体"/>
    </w:rPr>
  </w:style>
  <w:style w:type="paragraph" w:customStyle="1" w:styleId="afffffffffffb">
    <w:name w:val="标准文件_引言三级无标题"/>
    <w:basedOn w:val="a9"/>
    <w:qFormat/>
    <w:pPr>
      <w:spacing w:beforeLines="0" w:before="0" w:afterLines="0" w:after="0" w:line="276" w:lineRule="auto"/>
    </w:pPr>
    <w:rPr>
      <w:rFonts w:ascii="宋体" w:eastAsia="宋体"/>
    </w:rPr>
  </w:style>
  <w:style w:type="paragraph" w:customStyle="1" w:styleId="afffffffffffc">
    <w:name w:val="标准文件_引言四级无标题"/>
    <w:basedOn w:val="aa"/>
    <w:next w:val="affffff1"/>
    <w:qFormat/>
    <w:pPr>
      <w:spacing w:beforeLines="0" w:before="0" w:afterLines="0" w:after="0" w:line="276" w:lineRule="auto"/>
    </w:pPr>
    <w:rPr>
      <w:rFonts w:ascii="宋体" w:eastAsia="宋体"/>
    </w:rPr>
  </w:style>
  <w:style w:type="paragraph" w:customStyle="1" w:styleId="afffffffffffd">
    <w:name w:val="标准文件_引言五级无标题"/>
    <w:basedOn w:val="ab"/>
    <w:next w:val="affffff1"/>
    <w:qFormat/>
    <w:pPr>
      <w:spacing w:beforeLines="0" w:before="0" w:afterLines="0" w:after="0" w:line="276" w:lineRule="auto"/>
    </w:pPr>
    <w:rPr>
      <w:rFonts w:ascii="宋体" w:eastAsia="宋体"/>
    </w:rPr>
  </w:style>
  <w:style w:type="paragraph" w:customStyle="1" w:styleId="afffffffffffe">
    <w:name w:val="标准文件_索引标题"/>
    <w:basedOn w:val="affffff8"/>
    <w:next w:val="affffff1"/>
    <w:qFormat/>
    <w:rPr>
      <w:rFonts w:hAnsi="黑体"/>
    </w:rPr>
  </w:style>
  <w:style w:type="paragraph" w:customStyle="1" w:styleId="affffffffffff">
    <w:name w:val="标准文件_脚注内容"/>
    <w:basedOn w:val="affffff1"/>
    <w:qFormat/>
    <w:pPr>
      <w:ind w:leftChars="200" w:left="400" w:hangingChars="200" w:hanging="200"/>
    </w:pPr>
    <w:rPr>
      <w:sz w:val="15"/>
    </w:rPr>
  </w:style>
  <w:style w:type="paragraph" w:customStyle="1" w:styleId="affffffffffff0">
    <w:name w:val="标准文件_术语条一"/>
    <w:basedOn w:val="afffffffffa"/>
    <w:next w:val="affffff1"/>
    <w:qFormat/>
  </w:style>
  <w:style w:type="paragraph" w:customStyle="1" w:styleId="affffffffffff1">
    <w:name w:val="标准文件_术语条二"/>
    <w:basedOn w:val="afffffffffd"/>
    <w:next w:val="affffff1"/>
    <w:qFormat/>
  </w:style>
  <w:style w:type="paragraph" w:customStyle="1" w:styleId="affffffffffff2">
    <w:name w:val="标准文件_术语条三"/>
    <w:basedOn w:val="afffffffffc"/>
    <w:next w:val="affffff1"/>
    <w:qFormat/>
  </w:style>
  <w:style w:type="paragraph" w:customStyle="1" w:styleId="affffffffffff3">
    <w:name w:val="标准文件_术语条四"/>
    <w:basedOn w:val="affffffffff"/>
    <w:next w:val="affffff1"/>
    <w:qFormat/>
  </w:style>
  <w:style w:type="paragraph" w:customStyle="1" w:styleId="affffffffffff4">
    <w:name w:val="标准文件_术语条五"/>
    <w:basedOn w:val="afffffffffb"/>
    <w:next w:val="af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ffffffffff5">
    <w:name w:val="其他标准标志"/>
    <w:basedOn w:val="afffc"/>
    <w:qFormat/>
    <w:pPr>
      <w:framePr w:w="6101" w:h="1389" w:hRule="exact" w:hSpace="181" w:vSpace="181" w:wrap="around" w:vAnchor="page" w:hAnchor="page" w:x="4673" w:y="942" w:anchorLock="1"/>
      <w:widowControl/>
      <w:shd w:val="solid" w:color="FFFFFF" w:fill="FFFFFF"/>
      <w:adjustRightInd/>
      <w:spacing w:line="0" w:lineRule="atLeast"/>
      <w:jc w:val="right"/>
    </w:pPr>
    <w:rPr>
      <w:rFonts w:ascii="Times New Roman" w:hAnsi="Times New Roman"/>
      <w:b/>
      <w:w w:val="130"/>
      <w:kern w:val="0"/>
      <w:sz w:val="96"/>
      <w:szCs w:val="96"/>
    </w:rPr>
  </w:style>
  <w:style w:type="paragraph" w:customStyle="1" w:styleId="affffffffffff6">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basedOn w:val="afffd"/>
    <w:link w:val="affffffffffff6"/>
    <w:qFormat/>
    <w:rPr>
      <w:rFonts w:ascii="宋体" w:hAnsi="Times New Roman"/>
      <w:sz w:val="21"/>
    </w:rPr>
  </w:style>
  <w:style w:type="paragraph" w:customStyle="1" w:styleId="af3">
    <w:name w:val="一级条标题"/>
    <w:next w:val="affffffffffff6"/>
    <w:qFormat/>
    <w:pPr>
      <w:numPr>
        <w:ilvl w:val="1"/>
        <w:numId w:val="32"/>
      </w:numPr>
      <w:spacing w:beforeLines="50" w:afterLines="50"/>
      <w:ind w:left="708"/>
      <w:outlineLvl w:val="2"/>
    </w:pPr>
    <w:rPr>
      <w:rFonts w:ascii="黑体" w:eastAsia="黑体"/>
      <w:sz w:val="21"/>
      <w:szCs w:val="21"/>
    </w:rPr>
  </w:style>
  <w:style w:type="paragraph" w:customStyle="1" w:styleId="af2">
    <w:name w:val="章标题"/>
    <w:next w:val="affffffffffff6"/>
    <w:qFormat/>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f6"/>
    <w:qFormat/>
    <w:pPr>
      <w:numPr>
        <w:ilvl w:val="2"/>
      </w:numPr>
      <w:spacing w:before="50" w:after="50"/>
      <w:outlineLvl w:val="3"/>
    </w:pPr>
  </w:style>
  <w:style w:type="paragraph" w:customStyle="1" w:styleId="af5">
    <w:name w:val="三级条标题"/>
    <w:basedOn w:val="af4"/>
    <w:next w:val="affffffffffff6"/>
    <w:qFormat/>
    <w:pPr>
      <w:numPr>
        <w:ilvl w:val="3"/>
      </w:numPr>
      <w:outlineLvl w:val="4"/>
    </w:pPr>
  </w:style>
  <w:style w:type="paragraph" w:customStyle="1" w:styleId="af6">
    <w:name w:val="四级条标题"/>
    <w:basedOn w:val="af5"/>
    <w:next w:val="affffffffffff6"/>
    <w:qFormat/>
    <w:pPr>
      <w:numPr>
        <w:ilvl w:val="4"/>
      </w:numPr>
      <w:outlineLvl w:val="5"/>
    </w:pPr>
  </w:style>
  <w:style w:type="paragraph" w:customStyle="1" w:styleId="af7">
    <w:name w:val="五级条标题"/>
    <w:basedOn w:val="af6"/>
    <w:next w:val="affffffffffff6"/>
    <w:qFormat/>
    <w:pPr>
      <w:numPr>
        <w:ilvl w:val="5"/>
      </w:numPr>
      <w:outlineLvl w:val="6"/>
    </w:pPr>
  </w:style>
  <w:style w:type="paragraph" w:customStyle="1" w:styleId="aff9">
    <w:name w:val="二级无"/>
    <w:basedOn w:val="af4"/>
    <w:qFormat/>
    <w:pPr>
      <w:numPr>
        <w:numId w:val="31"/>
      </w:numPr>
      <w:spacing w:beforeLines="0" w:afterLines="0"/>
    </w:pPr>
    <w:rPr>
      <w:rFonts w:ascii="宋体" w:eastAsia="宋体"/>
    </w:rPr>
  </w:style>
  <w:style w:type="character" w:customStyle="1" w:styleId="affff2">
    <w:name w:val="批注文字 字符"/>
    <w:basedOn w:val="afffd"/>
    <w:link w:val="affff1"/>
    <w:uiPriority w:val="99"/>
    <w:semiHidden/>
    <w:qFormat/>
    <w:rPr>
      <w:kern w:val="2"/>
      <w:sz w:val="21"/>
      <w:szCs w:val="21"/>
    </w:rPr>
  </w:style>
  <w:style w:type="character" w:customStyle="1" w:styleId="afffff1">
    <w:name w:val="批注主题 字符"/>
    <w:basedOn w:val="affff2"/>
    <w:link w:val="afffff0"/>
    <w:uiPriority w:val="99"/>
    <w:semiHidden/>
    <w:qFormat/>
    <w:rPr>
      <w:b/>
      <w:bCs/>
      <w:kern w:val="2"/>
      <w:sz w:val="21"/>
      <w:szCs w:val="21"/>
    </w:rPr>
  </w:style>
  <w:style w:type="paragraph" w:customStyle="1" w:styleId="TOC10">
    <w:name w:val="TOC 标题1"/>
    <w:basedOn w:val="1"/>
    <w:next w:val="afffc"/>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7B4D6005214CDC8AD6731D75F3D1C2"/>
        <w:category>
          <w:name w:val="常规"/>
          <w:gallery w:val="placeholder"/>
        </w:category>
        <w:types>
          <w:type w:val="bbPlcHdr"/>
        </w:types>
        <w:behaviors>
          <w:behavior w:val="content"/>
        </w:behaviors>
        <w:guid w:val="{D1CBFA9B-131B-4193-8EE1-6554354A7D14}"/>
      </w:docPartPr>
      <w:docPartBody>
        <w:p w:rsidR="007E4DF3" w:rsidRDefault="00000000">
          <w:pPr>
            <w:pStyle w:val="267B4D6005214CDC8AD6731D75F3D1C2"/>
            <w:rPr>
              <w:rFonts w:hint="eastAsia"/>
            </w:rPr>
          </w:pPr>
          <w:r>
            <w:rPr>
              <w:rStyle w:val="a3"/>
              <w:rFonts w:hint="eastAsia"/>
            </w:rPr>
            <w:t>单击或点击此处输入文字。</w:t>
          </w:r>
        </w:p>
      </w:docPartBody>
    </w:docPart>
    <w:docPart>
      <w:docPartPr>
        <w:name w:val="6226AA3AD098418795EF5A41ABF5FB97"/>
        <w:category>
          <w:name w:val="常规"/>
          <w:gallery w:val="placeholder"/>
        </w:category>
        <w:types>
          <w:type w:val="bbPlcHdr"/>
        </w:types>
        <w:behaviors>
          <w:behavior w:val="content"/>
        </w:behaviors>
        <w:guid w:val="{C1BA279B-0CA2-4AA3-94FA-6FA5A430A3B8}"/>
      </w:docPartPr>
      <w:docPartBody>
        <w:p w:rsidR="007E4DF3" w:rsidRDefault="00000000">
          <w:pPr>
            <w:pStyle w:val="6226AA3AD098418795EF5A41ABF5FB9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F3D"/>
    <w:rsid w:val="00010A08"/>
    <w:rsid w:val="001B38E5"/>
    <w:rsid w:val="00281D66"/>
    <w:rsid w:val="003E0690"/>
    <w:rsid w:val="0042673A"/>
    <w:rsid w:val="00490CD2"/>
    <w:rsid w:val="004A6EE5"/>
    <w:rsid w:val="0054215D"/>
    <w:rsid w:val="006C40E7"/>
    <w:rsid w:val="007E4DF3"/>
    <w:rsid w:val="00876F81"/>
    <w:rsid w:val="009D3A90"/>
    <w:rsid w:val="00A003E8"/>
    <w:rsid w:val="00AB4D6B"/>
    <w:rsid w:val="00AD67C5"/>
    <w:rsid w:val="00AF42CD"/>
    <w:rsid w:val="00BF5947"/>
    <w:rsid w:val="00C6162B"/>
    <w:rsid w:val="00D64F3D"/>
    <w:rsid w:val="00F43771"/>
    <w:rsid w:val="00F60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67B4D6005214CDC8AD6731D75F3D1C2">
    <w:name w:val="267B4D6005214CDC8AD6731D75F3D1C2"/>
    <w:qFormat/>
    <w:pPr>
      <w:widowControl w:val="0"/>
      <w:jc w:val="both"/>
    </w:pPr>
    <w:rPr>
      <w:kern w:val="2"/>
      <w:sz w:val="21"/>
      <w:szCs w:val="22"/>
    </w:rPr>
  </w:style>
  <w:style w:type="paragraph" w:customStyle="1" w:styleId="6226AA3AD098418795EF5A41ABF5FB97">
    <w:name w:val="6226AA3AD098418795EF5A41ABF5FB9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A1CFB8-BC79-4637-988E-9A57E17F4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3</TotalTime>
  <Pages>13</Pages>
  <Words>1498</Words>
  <Characters>8541</Characters>
  <Application>Microsoft Office Word</Application>
  <DocSecurity>0</DocSecurity>
  <Lines>71</Lines>
  <Paragraphs>20</Paragraphs>
  <ScaleCrop>false</ScaleCrop>
  <Company>PCMI</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于浩洋</dc:creator>
  <dc:description>&lt;config cover="true" show_menu="true" version="1.0.0" doctype="SDKXY"&gt;_x000d_
&lt;/config&gt;</dc:description>
  <cp:lastModifiedBy>王永东 SNERDI</cp:lastModifiedBy>
  <cp:revision>5</cp:revision>
  <cp:lastPrinted>2021-02-02T07:44:00Z</cp:lastPrinted>
  <dcterms:created xsi:type="dcterms:W3CDTF">2023-10-16T02:49:00Z</dcterms:created>
  <dcterms:modified xsi:type="dcterms:W3CDTF">2025-08-06T02:53:00Z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A0F55D656DFC427E8B30598C8AEDCCE8</vt:lpwstr>
  </property>
  <property fmtid="{D5CDD505-2E9C-101B-9397-08002B2CF9AE}" pid="16" name="KSOTemplateDocerSaveRecord">
    <vt:lpwstr>eyJoZGlkIjoiMmI0Mjg5MDc0YTNiZjY4NGE5MTFjODFiOTE5MDI2NGUiLCJ1c2VySWQiOiI3ODkxMzE0NzUifQ==</vt:lpwstr>
  </property>
</Properties>
</file>